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Pr="00177129" w:rsidRDefault="00011212" w:rsidP="00177129">
            <w:pPr>
              <w:rPr>
                <w:rFonts w:ascii="Arial" w:hAnsi="Arial"/>
                <w:b/>
                <w:bCs/>
              </w:rPr>
            </w:pPr>
            <w:r>
              <w:rPr>
                <w:rFonts w:ascii="Arial" w:hAnsi="Arial" w:hint="cs"/>
                <w:b/>
                <w:bCs/>
                <w:rtl/>
              </w:rPr>
              <w:t>כב' ה</w:t>
            </w:r>
            <w:sdt>
              <w:sdtPr>
                <w:rPr>
                  <w:rtl/>
                </w:rPr>
                <w:alias w:val="1574"/>
                <w:tag w:val="1574"/>
                <w:id w:val="1747146877"/>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320551012"/>
                <w:text w:multiLine="1"/>
              </w:sdtPr>
              <w:sdtEndPr/>
              <w:sdtContent>
                <w:r>
                  <w:rPr>
                    <w:rFonts w:ascii="Arial" w:hAnsi="Arial"/>
                    <w:b/>
                    <w:bCs/>
                    <w:rtl/>
                  </w:rPr>
                  <w:t>אורית בן דור ליבל</w:t>
                </w:r>
              </w:sdtContent>
            </w:sdt>
          </w:p>
        </w:tc>
      </w:tr>
      <w:tr w:rsidR="002914D6">
        <w:trPr>
          <w:jc w:val="center"/>
        </w:trPr>
        <w:tc>
          <w:tcPr>
            <w:tcW w:w="3249" w:type="dxa"/>
            <w:gridSpan w:val="2"/>
          </w:tcPr>
          <w:p w:rsidR="002914D6" w:rsidRDefault="002914D6">
            <w:pPr>
              <w:bidi w:val="0"/>
              <w:jc w:val="right"/>
              <w:rPr>
                <w:rFonts w:ascii="Arial" w:hAnsi="Arial"/>
                <w:b/>
                <w:bCs/>
                <w:noProof w:val="0"/>
                <w:sz w:val="26"/>
                <w:szCs w:val="26"/>
              </w:rPr>
            </w:pPr>
          </w:p>
          <w:sdt>
            <w:sdtPr>
              <w:alias w:val="1180"/>
              <w:tag w:val="1180"/>
              <w:id w:val="-1016538661"/>
              <w:text w:multiLine="1"/>
            </w:sdtPr>
            <w:sdtEndPr/>
            <w:sdtContent>
              <w:p w:rsidR="004026B5" w:rsidRDefault="008C7BE0" w:rsidP="008C3E5E">
                <w:pPr>
                  <w:bidi w:val="0"/>
                  <w:jc w:val="right"/>
                  <w:rPr>
                    <w:rFonts w:ascii="Arial" w:hAnsi="Arial"/>
                    <w:b/>
                    <w:bCs/>
                    <w:noProof w:val="0"/>
                    <w:sz w:val="26"/>
                    <w:szCs w:val="26"/>
                    <w:rtl/>
                  </w:rPr>
                </w:pPr>
                <w:r>
                  <w:rPr>
                    <w:rFonts w:ascii="Arial" w:hAnsi="Arial"/>
                    <w:b/>
                    <w:bCs/>
                    <w:noProof w:val="0"/>
                    <w:sz w:val="26"/>
                    <w:szCs w:val="26"/>
                    <w:rtl/>
                  </w:rPr>
                  <w:t>תובע</w:t>
                </w:r>
                <w:r w:rsidR="008C3E5E">
                  <w:rPr>
                    <w:rFonts w:ascii="Arial" w:hAnsi="Arial" w:hint="cs"/>
                    <w:b/>
                    <w:bCs/>
                    <w:noProof w:val="0"/>
                    <w:sz w:val="26"/>
                    <w:szCs w:val="26"/>
                    <w:rtl/>
                  </w:rPr>
                  <w:t>ת</w:t>
                </w:r>
                <w:r w:rsidR="00356A9F">
                  <w:rPr>
                    <w:rFonts w:ascii="Arial" w:hAnsi="Arial" w:hint="cs"/>
                    <w:b/>
                    <w:bCs/>
                    <w:noProof w:val="0"/>
                    <w:sz w:val="26"/>
                    <w:szCs w:val="26"/>
                    <w:rtl/>
                  </w:rPr>
                  <w:t xml:space="preserve"> / נתבעת</w:t>
                </w:r>
              </w:p>
            </w:sdtContent>
          </w:sdt>
        </w:tc>
        <w:tc>
          <w:tcPr>
            <w:tcW w:w="5571" w:type="dxa"/>
          </w:tcPr>
          <w:p w:rsidR="002914D6" w:rsidRDefault="002914D6">
            <w:pPr>
              <w:rPr>
                <w:rFonts w:ascii="Arial" w:hAnsi="Arial"/>
                <w:b/>
                <w:bCs/>
                <w:noProof w:val="0"/>
                <w:sz w:val="26"/>
                <w:szCs w:val="26"/>
              </w:rPr>
            </w:pPr>
          </w:p>
          <w:p w:rsidR="002914D6" w:rsidRPr="00B45811" w:rsidRDefault="00B45811" w:rsidP="008C3E5E">
            <w:pPr>
              <w:rPr>
                <w:b/>
                <w:bCs/>
                <w:rtl/>
              </w:rPr>
            </w:pPr>
            <w:r w:rsidRPr="00B45811">
              <w:rPr>
                <w:rFonts w:hint="cs"/>
                <w:b/>
                <w:bCs/>
                <w:rtl/>
              </w:rPr>
              <w:t>פלונית</w:t>
            </w:r>
          </w:p>
          <w:p w:rsidR="008C3E5E" w:rsidRPr="008C3E5E" w:rsidRDefault="008C3E5E" w:rsidP="008C3E5E">
            <w:pPr>
              <w:rPr>
                <w:noProof w:val="0"/>
                <w:sz w:val="26"/>
                <w:szCs w:val="26"/>
              </w:rPr>
            </w:pPr>
            <w:r w:rsidRPr="008C3E5E">
              <w:rPr>
                <w:rFonts w:hint="cs"/>
                <w:sz w:val="22"/>
                <w:szCs w:val="22"/>
                <w:rtl/>
              </w:rPr>
              <w:t>עי" ב"כ עו"ד יורם אקוע</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rsidP="00177129">
            <w:pPr>
              <w:jc w:val="center"/>
              <w:rPr>
                <w:rFonts w:ascii="Arial" w:hAnsi="Arial"/>
                <w:b/>
                <w:bCs/>
                <w:noProof w:val="0"/>
                <w:sz w:val="26"/>
                <w:szCs w:val="26"/>
              </w:rPr>
            </w:pPr>
            <w:r>
              <w:rPr>
                <w:rFonts w:ascii="Arial" w:hAnsi="Arial"/>
                <w:b/>
                <w:bCs/>
                <w:noProof w:val="0"/>
                <w:sz w:val="26"/>
                <w:szCs w:val="26"/>
                <w:rtl/>
              </w:rPr>
              <w:t>נגד</w:t>
            </w: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A459FE" w:rsidP="008C3E5E">
            <w:pPr>
              <w:rPr>
                <w:rFonts w:ascii="Arial" w:hAnsi="Arial"/>
                <w:b/>
                <w:bCs/>
                <w:noProof w:val="0"/>
                <w:sz w:val="26"/>
                <w:szCs w:val="26"/>
              </w:rPr>
            </w:pPr>
            <w:sdt>
              <w:sdtPr>
                <w:rPr>
                  <w:rtl/>
                </w:rPr>
                <w:alias w:val="1184"/>
                <w:tag w:val="1184"/>
                <w:id w:val="-35981914"/>
                <w:text w:multiLine="1"/>
              </w:sdtPr>
              <w:sdtEndPr/>
              <w:sdtContent>
                <w:r w:rsidR="00521467">
                  <w:rPr>
                    <w:rFonts w:ascii="Arial" w:hAnsi="Arial"/>
                    <w:b/>
                    <w:bCs/>
                    <w:noProof w:val="0"/>
                    <w:sz w:val="26"/>
                    <w:szCs w:val="26"/>
                    <w:rtl/>
                  </w:rPr>
                  <w:t>נתבע</w:t>
                </w:r>
                <w:r w:rsidR="00356A9F">
                  <w:rPr>
                    <w:rFonts w:ascii="Arial" w:hAnsi="Arial" w:hint="cs"/>
                    <w:b/>
                    <w:bCs/>
                    <w:noProof w:val="0"/>
                    <w:sz w:val="26"/>
                    <w:szCs w:val="26"/>
                    <w:rtl/>
                  </w:rPr>
                  <w:t xml:space="preserve"> / תובע</w:t>
                </w:r>
              </w:sdtContent>
            </w:sdt>
          </w:p>
        </w:tc>
        <w:tc>
          <w:tcPr>
            <w:tcW w:w="5571" w:type="dxa"/>
          </w:tcPr>
          <w:p w:rsidR="002914D6" w:rsidRDefault="002914D6">
            <w:pPr>
              <w:rPr>
                <w:rFonts w:ascii="Arial" w:hAnsi="Arial"/>
                <w:b/>
                <w:bCs/>
                <w:noProof w:val="0"/>
                <w:sz w:val="26"/>
                <w:szCs w:val="26"/>
                <w:rtl/>
              </w:rPr>
            </w:pPr>
          </w:p>
          <w:p w:rsidR="002914D6" w:rsidRPr="00B45811" w:rsidRDefault="00A459FE" w:rsidP="00B45811">
            <w:pPr>
              <w:rPr>
                <w:b/>
                <w:bCs/>
                <w:rtl/>
              </w:rPr>
            </w:pPr>
            <w:sdt>
              <w:sdtPr>
                <w:rPr>
                  <w:b/>
                  <w:bCs/>
                  <w:rtl/>
                </w:rPr>
                <w:alias w:val="1486"/>
                <w:tag w:val="1486"/>
                <w:id w:val="-734459171"/>
                <w:text w:multiLine="1"/>
              </w:sdtPr>
              <w:sdtEndPr/>
              <w:sdtContent>
                <w:r w:rsidR="00B45811" w:rsidRPr="00B45811">
                  <w:rPr>
                    <w:rFonts w:hint="cs"/>
                    <w:b/>
                    <w:bCs/>
                    <w:rtl/>
                  </w:rPr>
                  <w:t>אלמוני</w:t>
                </w:r>
              </w:sdtContent>
            </w:sdt>
          </w:p>
          <w:p w:rsidR="008C3E5E" w:rsidRPr="008C3E5E" w:rsidRDefault="008C3E5E" w:rsidP="008C3E5E">
            <w:pPr>
              <w:rPr>
                <w:noProof w:val="0"/>
                <w:sz w:val="22"/>
                <w:szCs w:val="22"/>
                <w:rtl/>
              </w:rPr>
            </w:pPr>
            <w:r>
              <w:rPr>
                <w:rFonts w:hint="cs"/>
                <w:sz w:val="22"/>
                <w:szCs w:val="22"/>
                <w:rtl/>
              </w:rPr>
              <w:t>ע"י ב"כ עו"ד אורית אפרתי</w:t>
            </w:r>
          </w:p>
        </w:tc>
      </w:tr>
      <w:tr w:rsidR="00F03998" w:rsidTr="00260701">
        <w:trPr>
          <w:jc w:val="center"/>
        </w:trPr>
        <w:tc>
          <w:tcPr>
            <w:tcW w:w="8820" w:type="dxa"/>
            <w:gridSpan w:val="3"/>
          </w:tcPr>
          <w:p w:rsidR="004026B5" w:rsidRPr="008C3E5E" w:rsidRDefault="004026B5">
            <w:pPr>
              <w:rPr>
                <w:b/>
                <w:bCs/>
                <w:sz w:val="26"/>
                <w:szCs w:val="26"/>
              </w:rPr>
            </w:pPr>
          </w:p>
          <w:p w:rsidR="00F03998" w:rsidRDefault="00F03998">
            <w:pPr>
              <w:rPr>
                <w:rFonts w:ascii="Arial" w:hAnsi="Arial"/>
                <w:b/>
                <w:bCs/>
                <w:noProof w:val="0"/>
                <w:sz w:val="26"/>
                <w:szCs w:val="26"/>
                <w:rtl/>
              </w:rPr>
            </w:pPr>
          </w:p>
        </w:tc>
      </w:tr>
      <w:tr w:rsidR="00F03998">
        <w:trPr>
          <w:jc w:val="center"/>
        </w:trPr>
        <w:tc>
          <w:tcPr>
            <w:tcW w:w="8820" w:type="dxa"/>
            <w:gridSpan w:val="3"/>
          </w:tcPr>
          <w:p w:rsidR="00F03998" w:rsidRDefault="00F03998" w:rsidP="00F039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8C3E5E" w:rsidP="008B7DA0">
      <w:pPr>
        <w:spacing w:line="360" w:lineRule="auto"/>
        <w:jc w:val="both"/>
        <w:rPr>
          <w:rFonts w:ascii="Arial" w:hAnsi="Arial"/>
          <w:noProof w:val="0"/>
          <w:rtl/>
        </w:rPr>
      </w:pPr>
      <w:r>
        <w:rPr>
          <w:rFonts w:ascii="Arial" w:hAnsi="Arial" w:hint="cs"/>
          <w:noProof w:val="0"/>
          <w:rtl/>
        </w:rPr>
        <w:t>המדובר בתובענה למתן צו מניעה קבוע שיאסור על ה</w:t>
      </w:r>
      <w:r w:rsidR="00356A9F">
        <w:rPr>
          <w:rFonts w:ascii="Arial" w:hAnsi="Arial" w:hint="cs"/>
          <w:noProof w:val="0"/>
          <w:rtl/>
        </w:rPr>
        <w:t>אם</w:t>
      </w:r>
      <w:r>
        <w:rPr>
          <w:rFonts w:ascii="Arial" w:hAnsi="Arial" w:hint="cs"/>
          <w:noProof w:val="0"/>
          <w:rtl/>
        </w:rPr>
        <w:t xml:space="preserve"> לעבור להתגורר עם </w:t>
      </w:r>
      <w:r w:rsidR="00356A9F">
        <w:rPr>
          <w:rFonts w:ascii="Arial" w:hAnsi="Arial" w:hint="cs"/>
          <w:noProof w:val="0"/>
          <w:rtl/>
        </w:rPr>
        <w:t xml:space="preserve">בנם </w:t>
      </w:r>
      <w:r>
        <w:rPr>
          <w:rFonts w:ascii="Arial" w:hAnsi="Arial" w:hint="cs"/>
          <w:noProof w:val="0"/>
          <w:rtl/>
        </w:rPr>
        <w:t>הקטין</w:t>
      </w:r>
      <w:r w:rsidR="00356A9F">
        <w:rPr>
          <w:rFonts w:ascii="Arial" w:hAnsi="Arial" w:hint="cs"/>
          <w:noProof w:val="0"/>
          <w:rtl/>
        </w:rPr>
        <w:t xml:space="preserve"> של הצדדים</w:t>
      </w:r>
      <w:r>
        <w:rPr>
          <w:rFonts w:ascii="Arial" w:hAnsi="Arial" w:hint="cs"/>
          <w:noProof w:val="0"/>
          <w:rtl/>
        </w:rPr>
        <w:t xml:space="preserve"> בעיר ראשון לציון או בכל עיר אחרת שהגיש </w:t>
      </w:r>
      <w:r w:rsidR="00356A9F">
        <w:rPr>
          <w:rFonts w:ascii="Arial" w:hAnsi="Arial" w:hint="cs"/>
          <w:noProof w:val="0"/>
          <w:rtl/>
        </w:rPr>
        <w:t>האב</w:t>
      </w:r>
      <w:r>
        <w:rPr>
          <w:rFonts w:ascii="Arial" w:hAnsi="Arial" w:hint="cs"/>
          <w:noProof w:val="0"/>
          <w:rtl/>
        </w:rPr>
        <w:t>, ובתובענה להיתר להעתקת מקום מגורי הקטין לעיר ראשון לציון שהגישה ה</w:t>
      </w:r>
      <w:r w:rsidR="00356A9F">
        <w:rPr>
          <w:rFonts w:ascii="Arial" w:hAnsi="Arial" w:hint="cs"/>
          <w:noProof w:val="0"/>
          <w:rtl/>
        </w:rPr>
        <w:t>אם</w:t>
      </w:r>
      <w:r>
        <w:rPr>
          <w:rFonts w:ascii="Arial" w:hAnsi="Arial" w:hint="cs"/>
          <w:noProof w:val="0"/>
          <w:rtl/>
        </w:rPr>
        <w:t>.</w:t>
      </w:r>
      <w:r w:rsidR="00356A9F">
        <w:rPr>
          <w:rFonts w:ascii="Arial" w:hAnsi="Arial" w:hint="cs"/>
          <w:noProof w:val="0"/>
          <w:rtl/>
        </w:rPr>
        <w:t xml:space="preserve"> למען הנוחות</w:t>
      </w:r>
      <w:r w:rsidR="00181854">
        <w:rPr>
          <w:rFonts w:ascii="Arial" w:hAnsi="Arial" w:hint="cs"/>
          <w:noProof w:val="0"/>
          <w:rtl/>
        </w:rPr>
        <w:t xml:space="preserve"> האם</w:t>
      </w:r>
      <w:r w:rsidR="00356A9F">
        <w:rPr>
          <w:rFonts w:ascii="Arial" w:hAnsi="Arial" w:hint="cs"/>
          <w:noProof w:val="0"/>
          <w:rtl/>
        </w:rPr>
        <w:t xml:space="preserve"> תקרא להלן התובעת ואילו האב יקרא להלן הנתבע.</w:t>
      </w:r>
    </w:p>
    <w:p w:rsidR="008C3E5E" w:rsidRDefault="008C3E5E" w:rsidP="008B7DA0">
      <w:pPr>
        <w:spacing w:line="360" w:lineRule="auto"/>
        <w:jc w:val="both"/>
        <w:rPr>
          <w:rFonts w:ascii="Arial" w:hAnsi="Arial"/>
          <w:noProof w:val="0"/>
          <w:rtl/>
        </w:rPr>
      </w:pPr>
    </w:p>
    <w:p w:rsidR="008C3E5E" w:rsidRDefault="008C3E5E" w:rsidP="008B7DA0">
      <w:pPr>
        <w:spacing w:line="360" w:lineRule="auto"/>
        <w:jc w:val="both"/>
        <w:rPr>
          <w:rFonts w:ascii="Arial" w:hAnsi="Arial"/>
          <w:noProof w:val="0"/>
          <w:rtl/>
        </w:rPr>
      </w:pPr>
      <w:r w:rsidRPr="008C3E5E">
        <w:rPr>
          <w:rFonts w:ascii="Arial" w:hAnsi="Arial" w:hint="cs"/>
          <w:b/>
          <w:bCs/>
          <w:noProof w:val="0"/>
          <w:u w:val="single"/>
          <w:rtl/>
        </w:rPr>
        <w:t>הרקע הצריך לעניין</w:t>
      </w:r>
      <w:r>
        <w:rPr>
          <w:rFonts w:ascii="Arial" w:hAnsi="Arial" w:hint="cs"/>
          <w:noProof w:val="0"/>
          <w:rtl/>
        </w:rPr>
        <w:t>:</w:t>
      </w:r>
    </w:p>
    <w:p w:rsidR="002914D6" w:rsidRDefault="002914D6" w:rsidP="008B7DA0">
      <w:pPr>
        <w:spacing w:line="360" w:lineRule="auto"/>
        <w:jc w:val="both"/>
        <w:rPr>
          <w:rFonts w:ascii="Arial" w:hAnsi="Arial"/>
          <w:noProof w:val="0"/>
          <w:rtl/>
        </w:rPr>
      </w:pPr>
    </w:p>
    <w:p w:rsidR="00356A9F" w:rsidRDefault="008C3E5E" w:rsidP="008B7DA0">
      <w:pPr>
        <w:pStyle w:val="ad"/>
        <w:numPr>
          <w:ilvl w:val="0"/>
          <w:numId w:val="1"/>
        </w:numPr>
        <w:spacing w:after="0" w:line="360" w:lineRule="auto"/>
        <w:jc w:val="both"/>
        <w:rPr>
          <w:rFonts w:ascii="David" w:hAnsi="David" w:cs="David"/>
          <w:sz w:val="24"/>
          <w:szCs w:val="24"/>
        </w:rPr>
      </w:pPr>
      <w:r w:rsidRPr="00AD693F">
        <w:rPr>
          <w:rFonts w:ascii="David" w:hAnsi="David" w:cs="David" w:hint="cs"/>
          <w:sz w:val="24"/>
          <w:szCs w:val="24"/>
          <w:rtl/>
        </w:rPr>
        <w:t xml:space="preserve">בהסכם הגירושין </w:t>
      </w:r>
      <w:r>
        <w:rPr>
          <w:rFonts w:ascii="David" w:hAnsi="David" w:cs="David" w:hint="cs"/>
          <w:sz w:val="24"/>
          <w:szCs w:val="24"/>
          <w:rtl/>
        </w:rPr>
        <w:t>מיום 16.5.18</w:t>
      </w:r>
      <w:r w:rsidR="00010E14">
        <w:rPr>
          <w:rFonts w:ascii="David" w:hAnsi="David" w:cs="David" w:hint="cs"/>
          <w:sz w:val="24"/>
          <w:szCs w:val="24"/>
          <w:rtl/>
        </w:rPr>
        <w:t>,</w:t>
      </w:r>
      <w:r>
        <w:rPr>
          <w:rFonts w:ascii="David" w:hAnsi="David" w:cs="David" w:hint="cs"/>
          <w:sz w:val="24"/>
          <w:szCs w:val="24"/>
          <w:rtl/>
        </w:rPr>
        <w:t xml:space="preserve"> אשר אושר וקיבל תוקף של פסק דין על ידי בית משפט זה (ולהלן: "</w:t>
      </w:r>
      <w:r w:rsidRPr="00F71777">
        <w:rPr>
          <w:rFonts w:ascii="David" w:hAnsi="David" w:cs="David" w:hint="cs"/>
          <w:b/>
          <w:bCs/>
          <w:sz w:val="24"/>
          <w:szCs w:val="24"/>
          <w:rtl/>
        </w:rPr>
        <w:t>ההסכם</w:t>
      </w:r>
      <w:r>
        <w:rPr>
          <w:rFonts w:ascii="David" w:hAnsi="David" w:cs="David" w:hint="cs"/>
          <w:sz w:val="24"/>
          <w:szCs w:val="24"/>
          <w:rtl/>
        </w:rPr>
        <w:t>"), ושנערך עת בנם הקטין של הצדדים בן שנתיים בקירוב (יליד 23.3.16)</w:t>
      </w:r>
      <w:r w:rsidR="00010E14">
        <w:rPr>
          <w:rFonts w:ascii="David" w:hAnsi="David" w:cs="David" w:hint="cs"/>
          <w:sz w:val="24"/>
          <w:szCs w:val="24"/>
          <w:rtl/>
        </w:rPr>
        <w:t>,</w:t>
      </w:r>
      <w:r>
        <w:rPr>
          <w:rFonts w:ascii="David" w:hAnsi="David" w:cs="David" w:hint="cs"/>
          <w:sz w:val="24"/>
          <w:szCs w:val="24"/>
          <w:rtl/>
        </w:rPr>
        <w:t xml:space="preserve"> </w:t>
      </w:r>
      <w:r w:rsidRPr="00AD693F">
        <w:rPr>
          <w:rFonts w:ascii="David" w:hAnsi="David" w:cs="David" w:hint="cs"/>
          <w:sz w:val="24"/>
          <w:szCs w:val="24"/>
          <w:rtl/>
        </w:rPr>
        <w:t>נקבעו זמני השהות של הקטין עם הנתבע פעמיים בשבוע (מתוכן פעם אחת כולל לינה) ובכל סוף שבוע שני, ומחצית מהחופשות והחגים.</w:t>
      </w:r>
      <w:r w:rsidR="00356A9F" w:rsidRPr="00356A9F">
        <w:rPr>
          <w:rFonts w:ascii="David" w:hAnsi="David" w:cs="David" w:hint="cs"/>
          <w:sz w:val="24"/>
          <w:szCs w:val="24"/>
          <w:rtl/>
        </w:rPr>
        <w:t xml:space="preserve"> </w:t>
      </w:r>
      <w:r w:rsidR="00356A9F">
        <w:rPr>
          <w:rFonts w:ascii="David" w:hAnsi="David" w:cs="David" w:hint="cs"/>
          <w:sz w:val="24"/>
          <w:szCs w:val="24"/>
          <w:rtl/>
        </w:rPr>
        <w:t>בעת הזו מתגוררים הצדדים בקרבת מקום זל"ז בשכונת פסגת זאב בעיר ירושלים.</w:t>
      </w:r>
    </w:p>
    <w:p w:rsidR="008C3E5E" w:rsidRDefault="008C3E5E" w:rsidP="008B7DA0">
      <w:pPr>
        <w:pStyle w:val="ad"/>
        <w:spacing w:after="0" w:line="360" w:lineRule="auto"/>
        <w:jc w:val="both"/>
        <w:rPr>
          <w:rFonts w:ascii="David" w:hAnsi="David" w:cs="David"/>
          <w:sz w:val="24"/>
          <w:szCs w:val="24"/>
        </w:rPr>
      </w:pPr>
    </w:p>
    <w:p w:rsidR="008C3E5E" w:rsidRDefault="008C3E5E" w:rsidP="008B7DA0">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ביום</w:t>
      </w:r>
      <w:r w:rsidR="001C1D90">
        <w:rPr>
          <w:rFonts w:ascii="David" w:hAnsi="David" w:cs="David" w:hint="cs"/>
          <w:sz w:val="24"/>
          <w:szCs w:val="24"/>
          <w:rtl/>
        </w:rPr>
        <w:t xml:space="preserve"> 18.1.22 </w:t>
      </w:r>
      <w:r w:rsidR="00356A9F">
        <w:rPr>
          <w:rFonts w:ascii="David" w:hAnsi="David" w:cs="David" w:hint="cs"/>
          <w:sz w:val="24"/>
          <w:szCs w:val="24"/>
          <w:rtl/>
        </w:rPr>
        <w:t>עתר הנתבע בתובענה לצו מניעה קבוע שיאסור על התובעת להעתיק את מקום מגורי הקטין לעיר ראשון לציון או לכל עיר אחרת, זאת לאחר שהודיעה לו התובעת על כוונתה לעשות כן, ואם תעמוד על רצונה להעתיק את מקום מגוריה לעיר אחרת התבקש בית המשפט לקבוע את משמורת הקטין בידי הנתבע.</w:t>
      </w:r>
      <w:r w:rsidR="00177129">
        <w:rPr>
          <w:rFonts w:ascii="David" w:hAnsi="David" w:cs="David" w:hint="cs"/>
          <w:sz w:val="24"/>
          <w:szCs w:val="24"/>
          <w:rtl/>
        </w:rPr>
        <w:t xml:space="preserve"> צו מניעה ארעי ניתן באותו היום ו</w:t>
      </w:r>
      <w:r w:rsidR="00A8246C">
        <w:rPr>
          <w:rFonts w:ascii="David" w:hAnsi="David" w:cs="David" w:hint="cs"/>
          <w:sz w:val="24"/>
          <w:szCs w:val="24"/>
          <w:rtl/>
        </w:rPr>
        <w:t xml:space="preserve">בהסכמת הצדדים </w:t>
      </w:r>
      <w:r w:rsidR="00177129">
        <w:rPr>
          <w:rFonts w:ascii="David" w:hAnsi="David" w:cs="David" w:hint="cs"/>
          <w:sz w:val="24"/>
          <w:szCs w:val="24"/>
          <w:rtl/>
        </w:rPr>
        <w:t>הוא עודנו עומד בתוקפו</w:t>
      </w:r>
      <w:r w:rsidR="00A8246C">
        <w:rPr>
          <w:rFonts w:ascii="David" w:hAnsi="David" w:cs="David" w:hint="cs"/>
          <w:sz w:val="24"/>
          <w:szCs w:val="24"/>
          <w:rtl/>
        </w:rPr>
        <w:t>.</w:t>
      </w:r>
    </w:p>
    <w:p w:rsidR="008C3E5E" w:rsidRPr="00A8246C" w:rsidRDefault="008C3E5E" w:rsidP="008B7DA0">
      <w:pPr>
        <w:pStyle w:val="ad"/>
        <w:spacing w:after="0" w:line="360" w:lineRule="auto"/>
        <w:rPr>
          <w:rFonts w:ascii="David" w:hAnsi="David" w:cs="David"/>
          <w:sz w:val="24"/>
          <w:szCs w:val="24"/>
          <w:rtl/>
        </w:rPr>
      </w:pPr>
    </w:p>
    <w:p w:rsidR="008C3E5E" w:rsidRDefault="00356A9F" w:rsidP="008B7DA0">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ביום 30.3.22 עתרה התובעת בתובענה</w:t>
      </w:r>
      <w:r w:rsidR="008C3E5E" w:rsidRPr="00356A9F">
        <w:rPr>
          <w:rFonts w:ascii="David" w:hAnsi="David" w:cs="David" w:hint="cs"/>
          <w:sz w:val="24"/>
          <w:szCs w:val="24"/>
          <w:rtl/>
        </w:rPr>
        <w:t xml:space="preserve"> למתן צו עשה שיאשר את מעבר הקטין</w:t>
      </w:r>
      <w:r>
        <w:rPr>
          <w:rFonts w:ascii="David" w:hAnsi="David" w:cs="David" w:hint="cs"/>
          <w:sz w:val="24"/>
          <w:szCs w:val="24"/>
          <w:rtl/>
        </w:rPr>
        <w:t xml:space="preserve"> </w:t>
      </w:r>
      <w:r w:rsidR="008C3E5E" w:rsidRPr="00356A9F">
        <w:rPr>
          <w:rFonts w:ascii="David" w:hAnsi="David" w:cs="David" w:hint="cs"/>
          <w:sz w:val="24"/>
          <w:szCs w:val="24"/>
          <w:rtl/>
        </w:rPr>
        <w:t xml:space="preserve">מהעיר ירושלים לעיר ראשון לציון ויתיר את רישומו למוסד חינוכי שם. </w:t>
      </w:r>
    </w:p>
    <w:p w:rsidR="00356A9F" w:rsidRDefault="00356A9F" w:rsidP="008B7DA0">
      <w:pPr>
        <w:pStyle w:val="ad"/>
        <w:spacing w:after="0" w:line="360" w:lineRule="auto"/>
        <w:rPr>
          <w:rFonts w:ascii="David" w:hAnsi="David" w:cs="David"/>
          <w:sz w:val="24"/>
          <w:szCs w:val="24"/>
          <w:rtl/>
        </w:rPr>
      </w:pPr>
    </w:p>
    <w:p w:rsidR="00CE6FA1" w:rsidRDefault="00CE6FA1" w:rsidP="008B7DA0">
      <w:pPr>
        <w:pStyle w:val="ad"/>
        <w:spacing w:after="0" w:line="360" w:lineRule="auto"/>
        <w:rPr>
          <w:rFonts w:ascii="David" w:hAnsi="David" w:cs="David"/>
          <w:sz w:val="24"/>
          <w:szCs w:val="24"/>
          <w:rtl/>
        </w:rPr>
      </w:pPr>
    </w:p>
    <w:p w:rsidR="00CE6FA1" w:rsidRDefault="00CE6FA1" w:rsidP="008B7DA0">
      <w:pPr>
        <w:pStyle w:val="ad"/>
        <w:spacing w:after="0" w:line="360" w:lineRule="auto"/>
        <w:rPr>
          <w:rFonts w:ascii="David" w:hAnsi="David" w:cs="David"/>
          <w:sz w:val="24"/>
          <w:szCs w:val="24"/>
          <w:rtl/>
        </w:rPr>
      </w:pPr>
    </w:p>
    <w:p w:rsidR="00CE6FA1" w:rsidRDefault="00CE6FA1" w:rsidP="008B7DA0">
      <w:pPr>
        <w:pStyle w:val="ad"/>
        <w:spacing w:after="0" w:line="360" w:lineRule="auto"/>
        <w:rPr>
          <w:rFonts w:ascii="David" w:hAnsi="David" w:cs="David"/>
          <w:sz w:val="24"/>
          <w:szCs w:val="24"/>
          <w:rtl/>
        </w:rPr>
      </w:pPr>
    </w:p>
    <w:p w:rsidR="00CE6FA1" w:rsidRDefault="00CE6FA1" w:rsidP="008B7DA0">
      <w:pPr>
        <w:pStyle w:val="ad"/>
        <w:spacing w:after="0" w:line="360" w:lineRule="auto"/>
        <w:rPr>
          <w:rFonts w:ascii="David" w:hAnsi="David" w:cs="David"/>
          <w:sz w:val="24"/>
          <w:szCs w:val="24"/>
          <w:rtl/>
        </w:rPr>
      </w:pPr>
    </w:p>
    <w:p w:rsidR="00356A9F" w:rsidRPr="00FC3F55" w:rsidRDefault="00356A9F" w:rsidP="008B7DA0">
      <w:pPr>
        <w:spacing w:line="360" w:lineRule="auto"/>
        <w:jc w:val="both"/>
        <w:rPr>
          <w:rFonts w:ascii="David" w:hAnsi="David"/>
        </w:rPr>
      </w:pPr>
      <w:r w:rsidRPr="00FC3F55">
        <w:rPr>
          <w:rFonts w:ascii="David" w:hAnsi="David" w:hint="cs"/>
          <w:b/>
          <w:bCs/>
          <w:u w:val="single"/>
          <w:rtl/>
        </w:rPr>
        <w:lastRenderedPageBreak/>
        <w:t>תמצית טענות הצדדים</w:t>
      </w:r>
      <w:r w:rsidRPr="00FC3F55">
        <w:rPr>
          <w:rFonts w:ascii="David" w:hAnsi="David" w:hint="cs"/>
          <w:rtl/>
        </w:rPr>
        <w:t>:</w:t>
      </w:r>
    </w:p>
    <w:p w:rsidR="008C3E5E" w:rsidRPr="0061344E" w:rsidRDefault="008C3E5E" w:rsidP="008B7DA0">
      <w:pPr>
        <w:pStyle w:val="ad"/>
        <w:spacing w:after="0" w:line="360" w:lineRule="auto"/>
        <w:jc w:val="both"/>
        <w:rPr>
          <w:rFonts w:ascii="David" w:hAnsi="David" w:cs="David"/>
          <w:sz w:val="24"/>
          <w:szCs w:val="24"/>
        </w:rPr>
      </w:pPr>
    </w:p>
    <w:p w:rsidR="008C3E5E" w:rsidRDefault="00FC3F55" w:rsidP="008B7DA0">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לטענת התובעת </w:t>
      </w:r>
      <w:r w:rsidR="008C3E5E">
        <w:rPr>
          <w:rFonts w:ascii="David" w:hAnsi="David" w:cs="David" w:hint="cs"/>
          <w:sz w:val="24"/>
          <w:szCs w:val="24"/>
          <w:rtl/>
        </w:rPr>
        <w:t xml:space="preserve">מאז שנפרדו הצדדים היא מתגוררת עם הקטין בבית אמה וזאת בשל אילוצים כלכליים שאינם מאפשרים לה לשכור דירה. </w:t>
      </w:r>
      <w:r>
        <w:rPr>
          <w:rFonts w:ascii="David" w:hAnsi="David" w:cs="David" w:hint="cs"/>
          <w:sz w:val="24"/>
          <w:szCs w:val="24"/>
          <w:rtl/>
        </w:rPr>
        <w:t>נטען על ידיה ש</w:t>
      </w:r>
      <w:r w:rsidR="008C3E5E">
        <w:rPr>
          <w:rFonts w:ascii="David" w:hAnsi="David" w:cs="David" w:hint="cs"/>
          <w:sz w:val="24"/>
          <w:szCs w:val="24"/>
          <w:rtl/>
        </w:rPr>
        <w:t xml:space="preserve">יש להתיר את העתקת מקום המגורים של הקטין היות והיא </w:t>
      </w:r>
      <w:r w:rsidR="008C3E5E" w:rsidRPr="00AD693F">
        <w:rPr>
          <w:rFonts w:ascii="David" w:hAnsi="David" w:cs="David" w:hint="cs"/>
          <w:sz w:val="24"/>
          <w:szCs w:val="24"/>
          <w:rtl/>
        </w:rPr>
        <w:t xml:space="preserve">רכשה </w:t>
      </w:r>
      <w:r w:rsidR="008C3E5E">
        <w:rPr>
          <w:rFonts w:ascii="David" w:hAnsi="David" w:cs="David" w:hint="cs"/>
          <w:sz w:val="24"/>
          <w:szCs w:val="24"/>
          <w:rtl/>
        </w:rPr>
        <w:t>דירה בעיר ראשון לציון</w:t>
      </w:r>
      <w:r w:rsidR="008C3E5E" w:rsidRPr="00AD693F">
        <w:rPr>
          <w:rFonts w:ascii="David" w:hAnsi="David" w:cs="David" w:hint="cs"/>
          <w:sz w:val="24"/>
          <w:szCs w:val="24"/>
          <w:rtl/>
        </w:rPr>
        <w:t xml:space="preserve"> במסגרת 'מחיר למשתכן' </w:t>
      </w:r>
      <w:r w:rsidR="008C3E5E">
        <w:rPr>
          <w:rFonts w:ascii="David" w:hAnsi="David" w:cs="David" w:hint="cs"/>
          <w:sz w:val="24"/>
          <w:szCs w:val="24"/>
          <w:rtl/>
        </w:rPr>
        <w:t>ו</w:t>
      </w:r>
      <w:r w:rsidR="008C3E5E" w:rsidRPr="00AD693F">
        <w:rPr>
          <w:rFonts w:ascii="David" w:hAnsi="David" w:cs="David" w:hint="cs"/>
          <w:sz w:val="24"/>
          <w:szCs w:val="24"/>
          <w:rtl/>
        </w:rPr>
        <w:t>הנחיות משרד השיכון מחייבות מגורים בדירה במשך חמש שנים</w:t>
      </w:r>
      <w:r w:rsidR="008C3E5E">
        <w:rPr>
          <w:rFonts w:ascii="David" w:hAnsi="David" w:cs="David" w:hint="cs"/>
          <w:sz w:val="24"/>
          <w:szCs w:val="24"/>
          <w:rtl/>
        </w:rPr>
        <w:t>, וכן היא מתעדת להינשא בשנית ולקבוע את מקום מגוריה עם בן זוגה ועם הקטין בדירה</w:t>
      </w:r>
      <w:r w:rsidR="008C3E5E" w:rsidRPr="00AD693F">
        <w:rPr>
          <w:rFonts w:ascii="David" w:hAnsi="David" w:cs="David" w:hint="cs"/>
          <w:sz w:val="24"/>
          <w:szCs w:val="24"/>
          <w:rtl/>
        </w:rPr>
        <w:t xml:space="preserve">. </w:t>
      </w:r>
      <w:r w:rsidR="008C3E5E">
        <w:rPr>
          <w:rFonts w:ascii="David" w:hAnsi="David" w:cs="David" w:hint="cs"/>
          <w:sz w:val="24"/>
          <w:szCs w:val="24"/>
          <w:rtl/>
        </w:rPr>
        <w:t>עוד נאמר על ידיה ש</w:t>
      </w:r>
      <w:r w:rsidR="008C3E5E" w:rsidRPr="00AD693F">
        <w:rPr>
          <w:rFonts w:ascii="David" w:hAnsi="David" w:cs="David" w:hint="cs"/>
          <w:sz w:val="24"/>
          <w:szCs w:val="24"/>
          <w:rtl/>
        </w:rPr>
        <w:t xml:space="preserve">מעבר המגורים לעיר ראשון לציון בדירה אותה רכשה ישפר את תנאי המגורים </w:t>
      </w:r>
      <w:r w:rsidR="008C3E5E">
        <w:rPr>
          <w:rFonts w:ascii="David" w:hAnsi="David" w:cs="David" w:hint="cs"/>
          <w:sz w:val="24"/>
          <w:szCs w:val="24"/>
          <w:rtl/>
        </w:rPr>
        <w:t xml:space="preserve">ואיכות חייו של הקטין ויטיב עמו. בסיכומים הבהירה שהשיקול של נישואיה לבן זוג חדש אינו רלוונטי עוד. התובעת הציעה להסיע את הקטין בסופי השבוע בהם שוהה הוא </w:t>
      </w:r>
      <w:r w:rsidR="00A12F1E">
        <w:rPr>
          <w:rFonts w:ascii="David" w:hAnsi="David" w:cs="David" w:hint="cs"/>
          <w:sz w:val="24"/>
          <w:szCs w:val="24"/>
          <w:rtl/>
        </w:rPr>
        <w:t xml:space="preserve">עם  </w:t>
      </w:r>
      <w:r w:rsidR="008C3E5E">
        <w:rPr>
          <w:rFonts w:ascii="David" w:hAnsi="David" w:cs="David" w:hint="cs"/>
          <w:sz w:val="24"/>
          <w:szCs w:val="24"/>
          <w:rtl/>
        </w:rPr>
        <w:t>הנתבע, מיום חמישי ועד מוצאי שבת, ושהנתבע יתראה עם הקטין בראשון לציון באמצע השבוע.</w:t>
      </w:r>
    </w:p>
    <w:p w:rsidR="008C3E5E" w:rsidRPr="00AB02B0" w:rsidRDefault="008C3E5E" w:rsidP="008B7DA0">
      <w:pPr>
        <w:pStyle w:val="ad"/>
        <w:spacing w:after="0" w:line="360" w:lineRule="auto"/>
        <w:rPr>
          <w:rFonts w:ascii="David" w:hAnsi="David" w:cs="David"/>
          <w:sz w:val="24"/>
          <w:szCs w:val="24"/>
          <w:rtl/>
        </w:rPr>
      </w:pPr>
    </w:p>
    <w:p w:rsidR="008C3E5E" w:rsidRDefault="008C3E5E" w:rsidP="008B7DA0">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הנתבע ביקש לדחות את התביעה וטען שטובת הקטין היא בהמשך מגורים בעיר ירושלים. לטענתו הוא שותף מלא ופעיל בחיי הקטין, השוהה עמו בהתאם להסכם הגירושין פעמיים באמצע השבוע, בכל סוף שבוע שני ומחצית מימי חופשה, ימי מחלה וחגים והוא שותף בכל תחומי חייו גם בימים שבהם לא מתקיימים זמני שהות אלו באופן שלמעשה מדובר באחריות הורית משותפת. לדבריו רכישת דירה בעיר אחרת אינה מצדיקה פגיעה בשגרת חייו של הקטין ופגיעה בקשר שלו עם אביו </w:t>
      </w:r>
      <w:r>
        <w:rPr>
          <w:rFonts w:ascii="David" w:hAnsi="David" w:cs="David"/>
          <w:sz w:val="24"/>
          <w:szCs w:val="24"/>
          <w:rtl/>
        </w:rPr>
        <w:t>–</w:t>
      </w:r>
      <w:r>
        <w:rPr>
          <w:rFonts w:ascii="David" w:hAnsi="David" w:cs="David" w:hint="cs"/>
          <w:sz w:val="24"/>
          <w:szCs w:val="24"/>
          <w:rtl/>
        </w:rPr>
        <w:t xml:space="preserve"> הנתבע </w:t>
      </w:r>
      <w:r>
        <w:rPr>
          <w:rFonts w:ascii="David" w:hAnsi="David" w:cs="David"/>
          <w:sz w:val="24"/>
          <w:szCs w:val="24"/>
          <w:rtl/>
        </w:rPr>
        <w:t>–</w:t>
      </w:r>
      <w:r>
        <w:rPr>
          <w:rFonts w:ascii="David" w:hAnsi="David" w:cs="David" w:hint="cs"/>
          <w:sz w:val="24"/>
          <w:szCs w:val="24"/>
          <w:rtl/>
        </w:rPr>
        <w:t xml:space="preserve"> ועם משפחתו המורחבת, וכי אין איסור על השכרת הדירה שנרכשה על ידי התובעת ובידיה האפשרות לעשות כן ולא להפסיד את זכייתה ואף לשכור דירה בירושלים. עוד הדגיש הנתבע שמקום עבודתו בגשר אלנבי בבקעת הירדן מרוחק לעיר ראשון לציון ולא יאפשר לשמור על המצב הקיים ועל חלוקת זמני השהות של הקטין עמו כפי שהיא מתקיימת למעשה.</w:t>
      </w:r>
    </w:p>
    <w:p w:rsidR="008C3E5E" w:rsidRPr="00AD693F" w:rsidRDefault="008C3E5E" w:rsidP="008B7DA0">
      <w:pPr>
        <w:pStyle w:val="ad"/>
        <w:spacing w:after="0" w:line="360" w:lineRule="auto"/>
        <w:rPr>
          <w:rFonts w:ascii="David" w:hAnsi="David" w:cs="David"/>
          <w:sz w:val="24"/>
          <w:szCs w:val="24"/>
          <w:rtl/>
        </w:rPr>
      </w:pPr>
    </w:p>
    <w:p w:rsidR="008C3E5E" w:rsidRDefault="008C3E5E" w:rsidP="008B7DA0">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בתסקיר מיום 20.9.22 המליצה העו"ס שהתובעת והקטין ימשיכו להתגורר בירושלים או בסביבתה הקרובה, "מספיק קרוב כך שזמני השהות הנהוגים כיום ימשיכו להתקיים כרגיל".</w:t>
      </w:r>
    </w:p>
    <w:p w:rsidR="008C3E5E" w:rsidRPr="00AD693F" w:rsidRDefault="008C3E5E" w:rsidP="008B7DA0">
      <w:pPr>
        <w:pStyle w:val="ad"/>
        <w:spacing w:after="0" w:line="360" w:lineRule="auto"/>
        <w:rPr>
          <w:rFonts w:ascii="David" w:hAnsi="David" w:cs="David"/>
          <w:sz w:val="24"/>
          <w:szCs w:val="24"/>
          <w:rtl/>
        </w:rPr>
      </w:pPr>
    </w:p>
    <w:p w:rsidR="008C3E5E" w:rsidRDefault="008C3E5E" w:rsidP="008B7DA0">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היות והתובעת לא השלימה עם המלצות העו"ס וטענה שבמסגרת בחינת טובת הקטין לא נבדקו בתסקיר השיקולים הנדרשים בפסיקה נקבע דיון שהתקיים ביום 28.12.22 בהשתתפות העו"ס. </w:t>
      </w:r>
      <w:r w:rsidR="00D65B8A">
        <w:rPr>
          <w:rFonts w:ascii="David" w:hAnsi="David" w:cs="David" w:hint="cs"/>
          <w:sz w:val="24"/>
          <w:szCs w:val="24"/>
          <w:rtl/>
        </w:rPr>
        <w:t xml:space="preserve">בדיון הבהירה התובעת שאין בכוונתה לעבור להתגורר בעיר ראשון לציון בלעדי הקטין. </w:t>
      </w:r>
      <w:r>
        <w:rPr>
          <w:rFonts w:ascii="David" w:hAnsi="David" w:cs="David" w:hint="cs"/>
          <w:sz w:val="24"/>
          <w:szCs w:val="24"/>
          <w:rtl/>
        </w:rPr>
        <w:t xml:space="preserve">בדיון חקרה התובעת את </w:t>
      </w:r>
      <w:r w:rsidRPr="00695341">
        <w:rPr>
          <w:rFonts w:ascii="David" w:hAnsi="David" w:cs="David"/>
          <w:sz w:val="24"/>
          <w:szCs w:val="24"/>
          <w:rtl/>
        </w:rPr>
        <w:t>העו"ס על תסקירה וב"כ הצדדים ויתרו על חקירות הצדדים על תצהיריהם. לאחר שסיכמו הצדדים את טענותיהם בעל פה בית המשפט ניסה לסייע לצדדים לבחון מתווים שונים ולהגיע להסכמות. ביום 16.1.23 הודיעו הצדדים שלא עלה בידיהם להגיע לפתרון מוסכם וכי</w:t>
      </w:r>
      <w:r>
        <w:rPr>
          <w:rFonts w:ascii="David" w:hAnsi="David" w:cs="David" w:hint="cs"/>
          <w:sz w:val="24"/>
          <w:szCs w:val="24"/>
          <w:rtl/>
        </w:rPr>
        <w:t xml:space="preserve"> נדרשת הכרעה בתביעה. כן הודיעו "בהתייחס להשכרת הנכס שרכשה התובעת במסגרת "מחיר למשתכן" יובהר כי מדובר בהסכם שותק ומשום כך אין איסור להשכרת הנכס".</w:t>
      </w:r>
    </w:p>
    <w:p w:rsidR="008C3E5E" w:rsidRPr="006B0FF0" w:rsidRDefault="008C3E5E" w:rsidP="008B7DA0">
      <w:pPr>
        <w:spacing w:line="360" w:lineRule="auto"/>
        <w:jc w:val="both"/>
        <w:rPr>
          <w:rFonts w:ascii="David" w:hAnsi="David"/>
        </w:rPr>
      </w:pPr>
      <w:r w:rsidRPr="006B0FF0">
        <w:rPr>
          <w:rFonts w:ascii="David" w:hAnsi="David" w:hint="cs"/>
          <w:b/>
          <w:bCs/>
          <w:u w:val="single"/>
          <w:rtl/>
        </w:rPr>
        <w:lastRenderedPageBreak/>
        <w:t>דיון ו</w:t>
      </w:r>
      <w:r>
        <w:rPr>
          <w:rFonts w:ascii="David" w:hAnsi="David" w:hint="cs"/>
          <w:b/>
          <w:bCs/>
          <w:u w:val="single"/>
          <w:rtl/>
        </w:rPr>
        <w:t>ה</w:t>
      </w:r>
      <w:r w:rsidRPr="006B0FF0">
        <w:rPr>
          <w:rFonts w:ascii="David" w:hAnsi="David" w:hint="cs"/>
          <w:b/>
          <w:bCs/>
          <w:u w:val="single"/>
          <w:rtl/>
        </w:rPr>
        <w:t>כרעה</w:t>
      </w:r>
      <w:r>
        <w:rPr>
          <w:rFonts w:ascii="David" w:hAnsi="David" w:hint="cs"/>
          <w:rtl/>
        </w:rPr>
        <w:t>:</w:t>
      </w:r>
    </w:p>
    <w:p w:rsidR="008C3E5E" w:rsidRPr="006B0FF0" w:rsidRDefault="008C3E5E" w:rsidP="008B7DA0">
      <w:pPr>
        <w:pStyle w:val="ad"/>
        <w:spacing w:after="0" w:line="360" w:lineRule="auto"/>
        <w:rPr>
          <w:rFonts w:ascii="David" w:hAnsi="David" w:cs="David"/>
          <w:sz w:val="24"/>
          <w:szCs w:val="24"/>
          <w:rtl/>
        </w:rPr>
      </w:pPr>
    </w:p>
    <w:p w:rsidR="008C3E5E" w:rsidRDefault="008C3E5E" w:rsidP="008B7DA0">
      <w:pPr>
        <w:pStyle w:val="ae"/>
        <w:numPr>
          <w:ilvl w:val="0"/>
          <w:numId w:val="1"/>
        </w:numPr>
        <w:spacing w:line="360" w:lineRule="auto"/>
        <w:jc w:val="both"/>
        <w:rPr>
          <w:rFonts w:ascii="David" w:hAnsi="David" w:cs="David"/>
          <w:sz w:val="24"/>
          <w:szCs w:val="24"/>
        </w:rPr>
      </w:pPr>
      <w:r>
        <w:rPr>
          <w:rFonts w:ascii="David" w:hAnsi="David" w:cs="David" w:hint="cs"/>
          <w:sz w:val="24"/>
          <w:szCs w:val="24"/>
          <w:rtl/>
        </w:rPr>
        <w:t>הוראת סעיף 14 ל</w:t>
      </w:r>
      <w:hyperlink r:id="rId8" w:history="1">
        <w:r w:rsidRPr="006E0FE8">
          <w:rPr>
            <w:rFonts w:ascii="David" w:hAnsi="David" w:cs="David"/>
            <w:sz w:val="24"/>
            <w:szCs w:val="24"/>
            <w:rtl/>
          </w:rPr>
          <w:t xml:space="preserve">חוק </w:t>
        </w:r>
        <w:r w:rsidRPr="006E0FE8">
          <w:rPr>
            <w:rFonts w:ascii="David" w:hAnsi="David" w:cs="David"/>
            <w:b/>
            <w:bCs/>
            <w:sz w:val="24"/>
            <w:szCs w:val="24"/>
            <w:rtl/>
          </w:rPr>
          <w:t>הכשרות המשפטית והאפוטרופסות</w:t>
        </w:r>
      </w:hyperlink>
      <w:r>
        <w:rPr>
          <w:rFonts w:ascii="David" w:hAnsi="David" w:cs="David" w:hint="cs"/>
          <w:sz w:val="24"/>
          <w:szCs w:val="24"/>
          <w:rtl/>
        </w:rPr>
        <w:t>,</w:t>
      </w:r>
      <w:r>
        <w:rPr>
          <w:rFonts w:ascii="David" w:hAnsi="David" w:cs="David"/>
          <w:sz w:val="24"/>
          <w:szCs w:val="24"/>
          <w:rtl/>
        </w:rPr>
        <w:t xml:space="preserve"> התשכ"ב -1962 </w:t>
      </w:r>
      <w:r>
        <w:rPr>
          <w:rFonts w:ascii="David" w:hAnsi="David" w:cs="David" w:hint="cs"/>
          <w:sz w:val="24"/>
          <w:szCs w:val="24"/>
          <w:rtl/>
        </w:rPr>
        <w:t>מורה ש</w:t>
      </w:r>
      <w:r w:rsidRPr="006E0FE8">
        <w:rPr>
          <w:rFonts w:ascii="David" w:hAnsi="David" w:cs="David"/>
          <w:sz w:val="24"/>
          <w:szCs w:val="24"/>
          <w:rtl/>
        </w:rPr>
        <w:t>הורים הם האפוטרופ</w:t>
      </w:r>
      <w:r>
        <w:rPr>
          <w:rFonts w:ascii="David" w:hAnsi="David" w:cs="David" w:hint="cs"/>
          <w:sz w:val="24"/>
          <w:szCs w:val="24"/>
          <w:rtl/>
        </w:rPr>
        <w:t>ו</w:t>
      </w:r>
      <w:r w:rsidRPr="006E0FE8">
        <w:rPr>
          <w:rFonts w:ascii="David" w:hAnsi="David" w:cs="David"/>
          <w:sz w:val="24"/>
          <w:szCs w:val="24"/>
          <w:rtl/>
        </w:rPr>
        <w:t xml:space="preserve">סים הטבעיים של </w:t>
      </w:r>
      <w:r>
        <w:rPr>
          <w:rFonts w:ascii="David" w:hAnsi="David" w:cs="David" w:hint="cs"/>
          <w:sz w:val="24"/>
          <w:szCs w:val="24"/>
          <w:rtl/>
        </w:rPr>
        <w:t xml:space="preserve">ילדיהם הקטינים וצמודה לכך </w:t>
      </w:r>
      <w:r w:rsidRPr="006E0FE8">
        <w:rPr>
          <w:rFonts w:ascii="David" w:hAnsi="David" w:cs="David"/>
          <w:b/>
          <w:bCs/>
          <w:sz w:val="24"/>
          <w:szCs w:val="24"/>
          <w:rtl/>
        </w:rPr>
        <w:t xml:space="preserve">" </w:t>
      </w:r>
      <w:r w:rsidRPr="006E0FE8">
        <w:rPr>
          <w:rFonts w:ascii="Miriam" w:hAnsi="Miriam" w:cs="Miriam"/>
          <w:b/>
          <w:bCs/>
          <w:sz w:val="24"/>
          <w:szCs w:val="24"/>
          <w:rtl/>
        </w:rPr>
        <w:t>הרשות להחזיק בקטין</w:t>
      </w:r>
      <w:r w:rsidRPr="006E0FE8">
        <w:rPr>
          <w:rFonts w:ascii="Miriam" w:hAnsi="Miriam" w:cs="Miriam"/>
          <w:sz w:val="24"/>
          <w:szCs w:val="24"/>
          <w:rtl/>
        </w:rPr>
        <w:t xml:space="preserve"> </w:t>
      </w:r>
      <w:r w:rsidRPr="006E0FE8">
        <w:rPr>
          <w:rFonts w:ascii="Miriam" w:hAnsi="Miriam" w:cs="Miriam"/>
          <w:b/>
          <w:bCs/>
          <w:sz w:val="24"/>
          <w:szCs w:val="24"/>
          <w:rtl/>
        </w:rPr>
        <w:t>ולקבוע את מקום מגוריו..."</w:t>
      </w:r>
      <w:r w:rsidRPr="006E0FE8">
        <w:rPr>
          <w:rFonts w:ascii="David" w:hAnsi="David" w:cs="David"/>
          <w:sz w:val="24"/>
          <w:szCs w:val="24"/>
          <w:rtl/>
        </w:rPr>
        <w:t xml:space="preserve"> </w:t>
      </w:r>
      <w:r>
        <w:rPr>
          <w:rFonts w:ascii="David" w:hAnsi="David" w:cs="David" w:hint="cs"/>
          <w:sz w:val="24"/>
          <w:szCs w:val="24"/>
          <w:rtl/>
        </w:rPr>
        <w:t>(הוראת סעיף 15)</w:t>
      </w:r>
      <w:r w:rsidRPr="006E0FE8">
        <w:rPr>
          <w:rFonts w:ascii="David" w:hAnsi="David" w:cs="David"/>
          <w:sz w:val="24"/>
          <w:szCs w:val="24"/>
          <w:rtl/>
        </w:rPr>
        <w:t xml:space="preserve">. </w:t>
      </w:r>
      <w:r>
        <w:rPr>
          <w:rFonts w:ascii="David" w:hAnsi="David" w:cs="David" w:hint="cs"/>
          <w:sz w:val="24"/>
          <w:szCs w:val="24"/>
          <w:rtl/>
        </w:rPr>
        <w:t xml:space="preserve">אם לא עלה בידי ההורים להסכים בעניין זה יכריע בית המשפט </w:t>
      </w:r>
      <w:r w:rsidRPr="006E0FE8">
        <w:rPr>
          <w:rFonts w:ascii="David" w:hAnsi="David" w:cs="David"/>
          <w:sz w:val="24"/>
          <w:szCs w:val="24"/>
          <w:rtl/>
        </w:rPr>
        <w:t>בדבר</w:t>
      </w:r>
      <w:r w:rsidRPr="006E0FE8">
        <w:rPr>
          <w:rFonts w:ascii="David" w:hAnsi="David" w:cs="David"/>
          <w:b/>
          <w:bCs/>
          <w:sz w:val="24"/>
          <w:szCs w:val="24"/>
          <w:rtl/>
        </w:rPr>
        <w:t xml:space="preserve"> "</w:t>
      </w:r>
      <w:r w:rsidRPr="006E0FE8">
        <w:rPr>
          <w:rFonts w:ascii="Miriam" w:hAnsi="Miriam" w:cs="Miriam"/>
          <w:b/>
          <w:bCs/>
          <w:sz w:val="24"/>
          <w:szCs w:val="24"/>
          <w:rtl/>
        </w:rPr>
        <w:t>כפי שייראה לו לטובת הקטין</w:t>
      </w:r>
      <w:r w:rsidRPr="006E0FE8">
        <w:rPr>
          <w:rFonts w:ascii="David" w:hAnsi="David" w:cs="David"/>
          <w:b/>
          <w:bCs/>
          <w:sz w:val="24"/>
          <w:szCs w:val="24"/>
          <w:rtl/>
        </w:rPr>
        <w:t>..."</w:t>
      </w:r>
      <w:r w:rsidRPr="006E0FE8">
        <w:rPr>
          <w:rFonts w:ascii="David" w:hAnsi="David" w:cs="David"/>
          <w:sz w:val="24"/>
          <w:szCs w:val="24"/>
          <w:rtl/>
        </w:rPr>
        <w:t xml:space="preserve"> (</w:t>
      </w:r>
      <w:r w:rsidRPr="004148BC">
        <w:rPr>
          <w:rFonts w:ascii="David" w:hAnsi="David" w:cs="David" w:hint="cs"/>
          <w:color w:val="000000" w:themeColor="text1"/>
          <w:sz w:val="24"/>
          <w:szCs w:val="24"/>
          <w:rtl/>
        </w:rPr>
        <w:t xml:space="preserve">הוראת </w:t>
      </w:r>
      <w:hyperlink r:id="rId9" w:history="1">
        <w:r w:rsidRPr="004148BC">
          <w:rPr>
            <w:rStyle w:val="Hyperlink"/>
            <w:rFonts w:ascii="David" w:hAnsi="David" w:cs="David"/>
            <w:color w:val="000000" w:themeColor="text1"/>
            <w:sz w:val="24"/>
            <w:szCs w:val="24"/>
            <w:u w:val="none"/>
            <w:rtl/>
          </w:rPr>
          <w:t>סעיף 25</w:t>
        </w:r>
      </w:hyperlink>
      <w:r w:rsidRPr="004148BC">
        <w:rPr>
          <w:rFonts w:ascii="David" w:hAnsi="David" w:cs="David"/>
          <w:color w:val="000000" w:themeColor="text1"/>
          <w:sz w:val="24"/>
          <w:szCs w:val="24"/>
          <w:rtl/>
        </w:rPr>
        <w:t>).</w:t>
      </w:r>
    </w:p>
    <w:p w:rsidR="008C3E5E" w:rsidRDefault="008C3E5E" w:rsidP="008B7DA0">
      <w:pPr>
        <w:pStyle w:val="ae"/>
        <w:spacing w:line="360" w:lineRule="auto"/>
        <w:ind w:left="720"/>
        <w:jc w:val="both"/>
        <w:rPr>
          <w:rFonts w:ascii="David" w:hAnsi="David" w:cs="David"/>
          <w:sz w:val="24"/>
          <w:szCs w:val="24"/>
        </w:rPr>
      </w:pPr>
    </w:p>
    <w:p w:rsidR="008C3E5E" w:rsidRPr="00695341" w:rsidRDefault="008C3E5E" w:rsidP="008B7DA0">
      <w:pPr>
        <w:pStyle w:val="ae"/>
        <w:numPr>
          <w:ilvl w:val="0"/>
          <w:numId w:val="1"/>
        </w:numPr>
        <w:spacing w:line="360" w:lineRule="auto"/>
        <w:jc w:val="both"/>
        <w:rPr>
          <w:rFonts w:ascii="David" w:hAnsi="David" w:cs="David"/>
          <w:sz w:val="24"/>
          <w:szCs w:val="24"/>
        </w:rPr>
      </w:pPr>
      <w:r w:rsidRPr="006E0FE8">
        <w:rPr>
          <w:rFonts w:ascii="David" w:hAnsi="David" w:cs="David"/>
          <w:sz w:val="24"/>
          <w:szCs w:val="24"/>
          <w:rtl/>
        </w:rPr>
        <w:t>הכרע</w:t>
      </w:r>
      <w:r>
        <w:rPr>
          <w:rFonts w:ascii="David" w:hAnsi="David" w:cs="David" w:hint="cs"/>
          <w:sz w:val="24"/>
          <w:szCs w:val="24"/>
          <w:rtl/>
        </w:rPr>
        <w:t>ת בית המשפט בהעדר הסכמת ההורים קשה היא, והיא</w:t>
      </w:r>
      <w:r w:rsidRPr="006E0FE8">
        <w:rPr>
          <w:rFonts w:ascii="David" w:hAnsi="David" w:cs="David"/>
          <w:sz w:val="24"/>
          <w:szCs w:val="24"/>
          <w:rtl/>
        </w:rPr>
        <w:t xml:space="preserve"> "</w:t>
      </w:r>
      <w:r w:rsidRPr="006E0FE8">
        <w:rPr>
          <w:rFonts w:ascii="Miriam" w:hAnsi="Miriam" w:cs="Miriam"/>
          <w:b/>
          <w:bCs/>
          <w:sz w:val="24"/>
          <w:szCs w:val="24"/>
          <w:rtl/>
        </w:rPr>
        <w:t>בבחינת הרע במיעוטו</w:t>
      </w:r>
      <w:r w:rsidRPr="006E0FE8">
        <w:rPr>
          <w:rFonts w:ascii="David" w:hAnsi="David" w:cs="David"/>
          <w:sz w:val="24"/>
          <w:szCs w:val="24"/>
          <w:rtl/>
        </w:rPr>
        <w:t xml:space="preserve">" </w:t>
      </w:r>
      <w:r w:rsidRPr="006E0FE8">
        <w:rPr>
          <w:rFonts w:ascii="David" w:hAnsi="David" w:cs="David" w:hint="cs"/>
          <w:sz w:val="24"/>
          <w:szCs w:val="24"/>
          <w:rtl/>
        </w:rPr>
        <w:t>[</w:t>
      </w:r>
      <w:hyperlink r:id="rId10" w:history="1">
        <w:r w:rsidRPr="006E0FE8">
          <w:rPr>
            <w:rFonts w:ascii="David" w:hAnsi="David" w:cs="David"/>
            <w:sz w:val="24"/>
            <w:szCs w:val="24"/>
            <w:rtl/>
          </w:rPr>
          <w:t>רע"א 4575/00</w:t>
        </w:r>
      </w:hyperlink>
      <w:r w:rsidRPr="006E0FE8">
        <w:rPr>
          <w:rFonts w:ascii="David" w:hAnsi="David" w:cs="David"/>
          <w:sz w:val="24"/>
          <w:szCs w:val="24"/>
          <w:rtl/>
        </w:rPr>
        <w:t xml:space="preserve"> </w:t>
      </w:r>
      <w:r w:rsidRPr="006E0FE8">
        <w:rPr>
          <w:rFonts w:ascii="David" w:hAnsi="David" w:cs="David"/>
          <w:b/>
          <w:bCs/>
          <w:sz w:val="24"/>
          <w:szCs w:val="24"/>
          <w:rtl/>
        </w:rPr>
        <w:t>פלונית</w:t>
      </w:r>
      <w:r w:rsidRPr="006E0FE8">
        <w:rPr>
          <w:rFonts w:ascii="David" w:hAnsi="David" w:cs="David"/>
          <w:sz w:val="24"/>
          <w:szCs w:val="24"/>
          <w:rtl/>
        </w:rPr>
        <w:t xml:space="preserve"> נ' </w:t>
      </w:r>
      <w:r w:rsidRPr="006E0FE8">
        <w:rPr>
          <w:rFonts w:ascii="David" w:hAnsi="David" w:cs="David"/>
          <w:b/>
          <w:bCs/>
          <w:sz w:val="24"/>
          <w:szCs w:val="24"/>
          <w:rtl/>
        </w:rPr>
        <w:t>אלמוני</w:t>
      </w:r>
      <w:r w:rsidRPr="006E0FE8">
        <w:rPr>
          <w:rFonts w:ascii="David" w:hAnsi="David" w:cs="David"/>
          <w:sz w:val="24"/>
          <w:szCs w:val="24"/>
          <w:rtl/>
        </w:rPr>
        <w:t xml:space="preserve">, פ"ד נה(2) 321, 330, פסקה 11; </w:t>
      </w:r>
      <w:hyperlink r:id="rId11" w:history="1">
        <w:r w:rsidRPr="006E0FE8">
          <w:rPr>
            <w:rFonts w:ascii="David" w:hAnsi="David" w:cs="David"/>
            <w:sz w:val="24"/>
            <w:szCs w:val="24"/>
            <w:rtl/>
          </w:rPr>
          <w:t>עמ"ש (מחוזי י-ם) 516/09</w:t>
        </w:r>
      </w:hyperlink>
      <w:r w:rsidRPr="006E0FE8">
        <w:rPr>
          <w:rFonts w:ascii="David" w:hAnsi="David" w:cs="David"/>
          <w:sz w:val="24"/>
          <w:szCs w:val="24"/>
          <w:rtl/>
        </w:rPr>
        <w:t xml:space="preserve"> </w:t>
      </w:r>
      <w:r w:rsidRPr="006E0FE8">
        <w:rPr>
          <w:rFonts w:ascii="David" w:hAnsi="David" w:cs="David"/>
          <w:b/>
          <w:bCs/>
          <w:sz w:val="24"/>
          <w:szCs w:val="24"/>
          <w:rtl/>
        </w:rPr>
        <w:t>פלונית</w:t>
      </w:r>
      <w:r w:rsidRPr="006E0FE8">
        <w:rPr>
          <w:rFonts w:ascii="David" w:hAnsi="David" w:cs="David"/>
          <w:sz w:val="24"/>
          <w:szCs w:val="24"/>
          <w:rtl/>
        </w:rPr>
        <w:t xml:space="preserve"> נ' </w:t>
      </w:r>
      <w:r w:rsidRPr="006E0FE8">
        <w:rPr>
          <w:rFonts w:ascii="David" w:hAnsi="David" w:cs="David"/>
          <w:b/>
          <w:bCs/>
          <w:sz w:val="24"/>
          <w:szCs w:val="24"/>
          <w:rtl/>
        </w:rPr>
        <w:t>אלמוני</w:t>
      </w:r>
      <w:r w:rsidRPr="006E0FE8">
        <w:rPr>
          <w:rFonts w:ascii="David" w:hAnsi="David" w:cs="David"/>
          <w:sz w:val="24"/>
          <w:szCs w:val="24"/>
          <w:rtl/>
        </w:rPr>
        <w:t xml:space="preserve"> (</w:t>
      </w:r>
      <w:r>
        <w:rPr>
          <w:rFonts w:ascii="David" w:hAnsi="David" w:cs="David" w:hint="cs"/>
          <w:sz w:val="24"/>
          <w:szCs w:val="24"/>
          <w:rtl/>
        </w:rPr>
        <w:t>פורסם בנבו, 20.5.10</w:t>
      </w:r>
      <w:r w:rsidRPr="006E0FE8">
        <w:rPr>
          <w:rFonts w:ascii="David" w:hAnsi="David" w:cs="David"/>
          <w:sz w:val="24"/>
          <w:szCs w:val="24"/>
          <w:rtl/>
        </w:rPr>
        <w:t>) פסקה 8</w:t>
      </w:r>
      <w:r w:rsidRPr="006E0FE8">
        <w:rPr>
          <w:rFonts w:ascii="David" w:hAnsi="David" w:cs="David" w:hint="cs"/>
          <w:sz w:val="24"/>
          <w:szCs w:val="24"/>
          <w:rtl/>
        </w:rPr>
        <w:t>]</w:t>
      </w:r>
      <w:r>
        <w:rPr>
          <w:rFonts w:ascii="David" w:hAnsi="David" w:cs="David" w:hint="cs"/>
          <w:sz w:val="24"/>
          <w:szCs w:val="24"/>
          <w:rtl/>
        </w:rPr>
        <w:t xml:space="preserve">. בבסיס ההכרעה </w:t>
      </w:r>
      <w:r w:rsidRPr="006E0FE8">
        <w:rPr>
          <w:rFonts w:ascii="David" w:hAnsi="David" w:cs="David" w:hint="cs"/>
          <w:sz w:val="24"/>
          <w:szCs w:val="24"/>
          <w:rtl/>
        </w:rPr>
        <w:t xml:space="preserve">עומדת טובת הילד כאשר מושג זה אינו ערטילאי אלא </w:t>
      </w:r>
      <w:r w:rsidRPr="006E0FE8">
        <w:rPr>
          <w:rFonts w:ascii="Miriam" w:hAnsi="Miriam" w:cs="Miriam"/>
          <w:b/>
          <w:bCs/>
          <w:sz w:val="24"/>
          <w:szCs w:val="24"/>
          <w:rtl/>
        </w:rPr>
        <w:t>" הוא פרי של איזונים בין אינטרסים שונים של כל אחד מההורים ושל הילד. הילד אינו עומד בחלל ריק, קיימים גם להוריו זכויות..</w:t>
      </w:r>
      <w:r w:rsidRPr="006E0FE8">
        <w:rPr>
          <w:rFonts w:ascii="Miriam" w:hAnsi="Miriam" w:cs="Miriam" w:hint="cs"/>
          <w:b/>
          <w:bCs/>
          <w:sz w:val="24"/>
          <w:szCs w:val="24"/>
          <w:rtl/>
        </w:rPr>
        <w:t>"</w:t>
      </w:r>
      <w:r w:rsidRPr="006E0FE8">
        <w:rPr>
          <w:rFonts w:ascii="David" w:hAnsi="David" w:cs="David" w:hint="cs"/>
          <w:sz w:val="24"/>
          <w:szCs w:val="24"/>
          <w:rtl/>
        </w:rPr>
        <w:t xml:space="preserve"> [</w:t>
      </w:r>
      <w:hyperlink r:id="rId12" w:history="1">
        <w:r w:rsidRPr="006E0FE8">
          <w:rPr>
            <w:rFonts w:ascii="David" w:hAnsi="David" w:cs="David"/>
            <w:sz w:val="24"/>
            <w:szCs w:val="24"/>
            <w:rtl/>
          </w:rPr>
          <w:t>ע"מ (מחוזי באר שבע) 119/08</w:t>
        </w:r>
      </w:hyperlink>
      <w:r w:rsidRPr="006E0FE8">
        <w:rPr>
          <w:rFonts w:ascii="David" w:hAnsi="David" w:cs="David"/>
          <w:sz w:val="24"/>
          <w:szCs w:val="24"/>
          <w:rtl/>
        </w:rPr>
        <w:t xml:space="preserve"> </w:t>
      </w:r>
      <w:r w:rsidRPr="006E0FE8">
        <w:rPr>
          <w:rFonts w:ascii="David" w:hAnsi="David" w:cs="David"/>
          <w:b/>
          <w:bCs/>
          <w:sz w:val="24"/>
          <w:szCs w:val="24"/>
          <w:rtl/>
        </w:rPr>
        <w:t>פלוני</w:t>
      </w:r>
      <w:r w:rsidRPr="006E0FE8">
        <w:rPr>
          <w:rFonts w:ascii="David" w:hAnsi="David" w:cs="David"/>
          <w:sz w:val="24"/>
          <w:szCs w:val="24"/>
          <w:rtl/>
        </w:rPr>
        <w:t xml:space="preserve"> נ' </w:t>
      </w:r>
      <w:r w:rsidRPr="006E0FE8">
        <w:rPr>
          <w:rFonts w:ascii="David" w:hAnsi="David" w:cs="David"/>
          <w:b/>
          <w:bCs/>
          <w:sz w:val="24"/>
          <w:szCs w:val="24"/>
          <w:rtl/>
        </w:rPr>
        <w:t>פלונית</w:t>
      </w:r>
      <w:r w:rsidRPr="006E0FE8">
        <w:rPr>
          <w:rFonts w:ascii="David" w:hAnsi="David" w:cs="David"/>
          <w:sz w:val="24"/>
          <w:szCs w:val="24"/>
          <w:rtl/>
        </w:rPr>
        <w:t xml:space="preserve">, </w:t>
      </w:r>
      <w:r w:rsidRPr="006E0FE8">
        <w:rPr>
          <w:rFonts w:ascii="David" w:hAnsi="David" w:cs="David" w:hint="cs"/>
          <w:sz w:val="24"/>
          <w:szCs w:val="24"/>
          <w:rtl/>
        </w:rPr>
        <w:t xml:space="preserve">פורסם בנבו, 13.8.08 </w:t>
      </w:r>
      <w:r w:rsidRPr="006E0FE8">
        <w:rPr>
          <w:rFonts w:ascii="David" w:hAnsi="David" w:cs="David"/>
          <w:sz w:val="24"/>
          <w:szCs w:val="24"/>
          <w:rtl/>
        </w:rPr>
        <w:t xml:space="preserve">עמ' 7, </w:t>
      </w:r>
      <w:r w:rsidRPr="006E0FE8">
        <w:rPr>
          <w:rFonts w:ascii="David" w:hAnsi="David" w:cs="David" w:hint="cs"/>
          <w:sz w:val="24"/>
          <w:szCs w:val="24"/>
          <w:rtl/>
        </w:rPr>
        <w:t>(להלן: "</w:t>
      </w:r>
      <w:r w:rsidRPr="006E0FE8">
        <w:rPr>
          <w:rFonts w:ascii="David" w:hAnsi="David" w:cs="David"/>
          <w:b/>
          <w:bCs/>
          <w:sz w:val="24"/>
          <w:szCs w:val="24"/>
          <w:rtl/>
        </w:rPr>
        <w:t>עניין פלוני</w:t>
      </w:r>
      <w:r w:rsidRPr="006E0FE8">
        <w:rPr>
          <w:rFonts w:ascii="David" w:hAnsi="David" w:cs="David" w:hint="cs"/>
          <w:b/>
          <w:bCs/>
          <w:sz w:val="24"/>
          <w:szCs w:val="24"/>
          <w:rtl/>
        </w:rPr>
        <w:t>"</w:t>
      </w:r>
      <w:r w:rsidRPr="006E0FE8">
        <w:rPr>
          <w:rFonts w:ascii="David" w:hAnsi="David" w:cs="David"/>
          <w:sz w:val="24"/>
          <w:szCs w:val="24"/>
          <w:rtl/>
        </w:rPr>
        <w:t>)</w:t>
      </w:r>
      <w:r w:rsidRPr="006E0FE8">
        <w:rPr>
          <w:rFonts w:ascii="David" w:hAnsi="David" w:cs="David" w:hint="cs"/>
          <w:sz w:val="24"/>
          <w:szCs w:val="24"/>
          <w:rtl/>
        </w:rPr>
        <w:t>]</w:t>
      </w:r>
      <w:r w:rsidRPr="006E0FE8">
        <w:rPr>
          <w:rFonts w:ascii="Miriam" w:hAnsi="Miriam" w:cs="Miriam"/>
          <w:b/>
          <w:bCs/>
          <w:sz w:val="24"/>
          <w:szCs w:val="24"/>
          <w:rtl/>
        </w:rPr>
        <w:t xml:space="preserve">.  </w:t>
      </w:r>
      <w:r w:rsidRPr="006E0FE8">
        <w:rPr>
          <w:rFonts w:ascii="David" w:hAnsi="David" w:cs="David" w:hint="cs"/>
          <w:sz w:val="24"/>
          <w:szCs w:val="24"/>
          <w:rtl/>
        </w:rPr>
        <w:t xml:space="preserve">לצורך הכרעה על בית המשפט לאזן </w:t>
      </w:r>
      <w:r>
        <w:rPr>
          <w:rFonts w:ascii="David" w:hAnsi="David" w:cs="David" w:hint="cs"/>
          <w:sz w:val="24"/>
          <w:szCs w:val="24"/>
          <w:rtl/>
        </w:rPr>
        <w:t xml:space="preserve">אפוא </w:t>
      </w:r>
      <w:r w:rsidRPr="006E0FE8">
        <w:rPr>
          <w:rFonts w:ascii="David" w:hAnsi="David" w:cs="David" w:hint="cs"/>
          <w:sz w:val="24"/>
          <w:szCs w:val="24"/>
          <w:rtl/>
        </w:rPr>
        <w:t xml:space="preserve">בין </w:t>
      </w:r>
      <w:r w:rsidRPr="006E0FE8">
        <w:rPr>
          <w:rFonts w:ascii="David" w:hAnsi="David" w:cs="David"/>
          <w:sz w:val="24"/>
          <w:szCs w:val="24"/>
          <w:rtl/>
        </w:rPr>
        <w:t xml:space="preserve">שלוש זכויות: הראשונה, זכות הילד לקיים קשר יציב, רצוף, משמעותי ותקין עם שני הוריו; השנייה, זכות ההורה המשמורן לעצב את תמונת חייו; </w:t>
      </w:r>
      <w:r w:rsidRPr="00695341">
        <w:rPr>
          <w:rFonts w:ascii="David" w:hAnsi="David" w:cs="David"/>
          <w:sz w:val="24"/>
          <w:szCs w:val="24"/>
          <w:rtl/>
        </w:rPr>
        <w:t>השלישית, זכות ההורה הלא משמורן לקיים קשר משמעותי עם ילדו</w:t>
      </w:r>
      <w:r w:rsidRPr="00695341">
        <w:rPr>
          <w:rFonts w:ascii="David" w:hAnsi="David" w:cs="David" w:hint="cs"/>
          <w:sz w:val="24"/>
          <w:szCs w:val="24"/>
          <w:rtl/>
        </w:rPr>
        <w:t xml:space="preserve"> </w:t>
      </w:r>
      <w:r>
        <w:rPr>
          <w:rFonts w:ascii="David" w:hAnsi="David" w:cs="David" w:hint="cs"/>
          <w:sz w:val="24"/>
          <w:szCs w:val="24"/>
          <w:rtl/>
        </w:rPr>
        <w:t>[</w:t>
      </w:r>
      <w:hyperlink r:id="rId13" w:history="1">
        <w:r w:rsidRPr="00695341">
          <w:rPr>
            <w:rFonts w:ascii="David" w:hAnsi="David" w:cs="David"/>
            <w:sz w:val="24"/>
            <w:szCs w:val="24"/>
            <w:rtl/>
          </w:rPr>
          <w:t>בע"מ 27/06</w:t>
        </w:r>
      </w:hyperlink>
      <w:r w:rsidRPr="00695341">
        <w:rPr>
          <w:rFonts w:ascii="David" w:hAnsi="David" w:cs="David"/>
          <w:sz w:val="24"/>
          <w:szCs w:val="24"/>
          <w:rtl/>
        </w:rPr>
        <w:t xml:space="preserve"> </w:t>
      </w:r>
      <w:r w:rsidRPr="00695341">
        <w:rPr>
          <w:rFonts w:ascii="David" w:hAnsi="David" w:cs="David"/>
          <w:b/>
          <w:bCs/>
          <w:sz w:val="24"/>
          <w:szCs w:val="24"/>
          <w:rtl/>
        </w:rPr>
        <w:t>פלוני נ' פלוני</w:t>
      </w:r>
      <w:r w:rsidRPr="00695341">
        <w:rPr>
          <w:rFonts w:ascii="David" w:hAnsi="David" w:cs="David"/>
          <w:sz w:val="24"/>
          <w:szCs w:val="24"/>
          <w:rtl/>
        </w:rPr>
        <w:t xml:space="preserve"> (פורסם </w:t>
      </w:r>
      <w:r w:rsidRPr="00695341">
        <w:rPr>
          <w:rFonts w:ascii="Times New Roman" w:hAnsi="Times New Roman" w:cs="David"/>
          <w:szCs w:val="24"/>
          <w:rtl/>
        </w:rPr>
        <w:t>בנבו</w:t>
      </w:r>
      <w:r w:rsidRPr="00695341">
        <w:rPr>
          <w:rFonts w:ascii="David" w:hAnsi="David" w:cs="David"/>
          <w:sz w:val="24"/>
          <w:szCs w:val="24"/>
          <w:rtl/>
        </w:rPr>
        <w:t xml:space="preserve">, 1.5.06); </w:t>
      </w:r>
      <w:hyperlink r:id="rId14" w:history="1">
        <w:r w:rsidRPr="00695341">
          <w:rPr>
            <w:rFonts w:ascii="David" w:hAnsi="David" w:cs="David"/>
            <w:sz w:val="24"/>
            <w:szCs w:val="24"/>
            <w:rtl/>
          </w:rPr>
          <w:t>תלה"מ (צפת) 10308-03-17</w:t>
        </w:r>
      </w:hyperlink>
      <w:r w:rsidRPr="00695341">
        <w:rPr>
          <w:rFonts w:ascii="David" w:hAnsi="David" w:cs="David"/>
          <w:sz w:val="24"/>
          <w:szCs w:val="24"/>
          <w:rtl/>
        </w:rPr>
        <w:t xml:space="preserve"> </w:t>
      </w:r>
      <w:r w:rsidRPr="00695341">
        <w:rPr>
          <w:rFonts w:ascii="David" w:hAnsi="David" w:cs="David"/>
          <w:b/>
          <w:bCs/>
          <w:sz w:val="24"/>
          <w:szCs w:val="24"/>
          <w:rtl/>
        </w:rPr>
        <w:t xml:space="preserve">פלוני נ' אלמונית </w:t>
      </w:r>
      <w:r w:rsidRPr="00695341">
        <w:rPr>
          <w:rFonts w:ascii="David" w:hAnsi="David" w:cs="David"/>
          <w:sz w:val="24"/>
          <w:szCs w:val="24"/>
          <w:rtl/>
        </w:rPr>
        <w:t xml:space="preserve">(פורסם </w:t>
      </w:r>
      <w:r w:rsidRPr="00695341">
        <w:rPr>
          <w:rFonts w:ascii="Times New Roman" w:hAnsi="Times New Roman" w:cs="David"/>
          <w:szCs w:val="24"/>
          <w:rtl/>
        </w:rPr>
        <w:t>בנבו</w:t>
      </w:r>
      <w:r>
        <w:rPr>
          <w:rFonts w:ascii="Times New Roman" w:hAnsi="Times New Roman" w:cs="David" w:hint="cs"/>
          <w:szCs w:val="24"/>
          <w:rtl/>
        </w:rPr>
        <w:t xml:space="preserve">, </w:t>
      </w:r>
      <w:r w:rsidR="00FC3F55">
        <w:rPr>
          <w:rFonts w:ascii="Times New Roman" w:hAnsi="Times New Roman" w:cs="David" w:hint="cs"/>
          <w:szCs w:val="24"/>
          <w:rtl/>
        </w:rPr>
        <w:t>9.7.17)</w:t>
      </w:r>
      <w:r>
        <w:rPr>
          <w:rFonts w:ascii="Times New Roman" w:hAnsi="Times New Roman" w:cs="David" w:hint="cs"/>
          <w:szCs w:val="24"/>
          <w:rtl/>
        </w:rPr>
        <w:t>]</w:t>
      </w:r>
      <w:r w:rsidRPr="00695341">
        <w:rPr>
          <w:rFonts w:ascii="David" w:hAnsi="David" w:cs="David"/>
          <w:sz w:val="24"/>
          <w:szCs w:val="24"/>
          <w:rtl/>
        </w:rPr>
        <w:t>.</w:t>
      </w:r>
    </w:p>
    <w:p w:rsidR="008C3E5E" w:rsidRPr="006E0FE8" w:rsidRDefault="008C3E5E" w:rsidP="008B7DA0">
      <w:pPr>
        <w:pStyle w:val="ae"/>
        <w:spacing w:line="360" w:lineRule="auto"/>
        <w:ind w:left="720"/>
        <w:jc w:val="both"/>
        <w:rPr>
          <w:rFonts w:ascii="David" w:hAnsi="David" w:cs="David"/>
          <w:sz w:val="24"/>
          <w:szCs w:val="24"/>
        </w:rPr>
      </w:pPr>
    </w:p>
    <w:p w:rsidR="008C3E5E" w:rsidRPr="00170EDB" w:rsidRDefault="008C3E5E" w:rsidP="008B7DA0">
      <w:pPr>
        <w:pStyle w:val="ad"/>
        <w:numPr>
          <w:ilvl w:val="0"/>
          <w:numId w:val="1"/>
        </w:numPr>
        <w:spacing w:after="0" w:line="360" w:lineRule="auto"/>
        <w:jc w:val="both"/>
        <w:rPr>
          <w:rFonts w:ascii="David" w:hAnsi="David" w:cs="David"/>
          <w:sz w:val="24"/>
          <w:szCs w:val="24"/>
        </w:rPr>
      </w:pPr>
      <w:r w:rsidRPr="00170EDB">
        <w:rPr>
          <w:rFonts w:ascii="David" w:hAnsi="David" w:cs="David" w:hint="cs"/>
          <w:sz w:val="24"/>
          <w:szCs w:val="24"/>
          <w:rtl/>
        </w:rPr>
        <w:t xml:space="preserve">קיימות שתי גישות בפסיקה בהכרעה בסוגיית העתקת מקום מגוריו של קטין. הראשונה היא גישת 'המעשה העשוי' </w:t>
      </w:r>
      <w:r w:rsidRPr="00170EDB">
        <w:rPr>
          <w:rFonts w:ascii="David" w:hAnsi="David" w:cs="David"/>
          <w:sz w:val="24"/>
          <w:szCs w:val="24"/>
          <w:rtl/>
        </w:rPr>
        <w:t>לפיה בהינתן זכות ההורים לשנות מקום מגוריהם יש לבחון את מצב הדברים כאילו כבר העתיק ההורה מקום מגוריו</w:t>
      </w:r>
      <w:r w:rsidRPr="00170EDB">
        <w:rPr>
          <w:rFonts w:ascii="David" w:hAnsi="David" w:cs="David" w:hint="cs"/>
          <w:sz w:val="24"/>
          <w:szCs w:val="24"/>
          <w:rtl/>
        </w:rPr>
        <w:t xml:space="preserve"> [</w:t>
      </w:r>
      <w:r w:rsidRPr="00170EDB">
        <w:rPr>
          <w:rFonts w:ascii="David" w:hAnsi="David" w:cs="David"/>
          <w:sz w:val="24"/>
          <w:szCs w:val="24"/>
          <w:rtl/>
        </w:rPr>
        <w:t xml:space="preserve">עמ"ש (נצרת) 9963-06-11 </w:t>
      </w:r>
      <w:r w:rsidRPr="00170EDB">
        <w:rPr>
          <w:rFonts w:ascii="David" w:hAnsi="David" w:cs="David"/>
          <w:b/>
          <w:bCs/>
          <w:sz w:val="24"/>
          <w:szCs w:val="24"/>
          <w:rtl/>
        </w:rPr>
        <w:t>פלונית נ' אלמוני</w:t>
      </w:r>
      <w:r w:rsidRPr="00170EDB">
        <w:rPr>
          <w:rFonts w:ascii="David" w:hAnsi="David" w:cs="David"/>
          <w:sz w:val="24"/>
          <w:szCs w:val="24"/>
          <w:rtl/>
        </w:rPr>
        <w:t xml:space="preserve"> (</w:t>
      </w:r>
      <w:r w:rsidR="008B7DA0">
        <w:rPr>
          <w:rFonts w:ascii="David" w:hAnsi="David" w:cs="David" w:hint="cs"/>
          <w:sz w:val="24"/>
          <w:szCs w:val="24"/>
          <w:rtl/>
        </w:rPr>
        <w:t>פורסם בנבו, 10.8.11</w:t>
      </w:r>
      <w:r w:rsidRPr="00170EDB">
        <w:rPr>
          <w:rFonts w:ascii="David" w:hAnsi="David" w:cs="David"/>
          <w:sz w:val="24"/>
          <w:szCs w:val="24"/>
          <w:rtl/>
        </w:rPr>
        <w:t>)</w:t>
      </w:r>
      <w:r w:rsidRPr="00170EDB">
        <w:rPr>
          <w:rFonts w:ascii="David" w:hAnsi="David" w:cs="David" w:hint="cs"/>
          <w:sz w:val="24"/>
          <w:szCs w:val="24"/>
          <w:rtl/>
        </w:rPr>
        <w:t>].</w:t>
      </w:r>
      <w:r w:rsidRPr="00170EDB">
        <w:rPr>
          <w:rFonts w:ascii="David" w:hAnsi="David" w:cs="David"/>
          <w:sz w:val="24"/>
          <w:szCs w:val="24"/>
          <w:rtl/>
        </w:rPr>
        <w:t xml:space="preserve"> </w:t>
      </w:r>
      <w:r w:rsidRPr="00170EDB">
        <w:rPr>
          <w:rFonts w:ascii="David" w:hAnsi="David" w:cs="David" w:hint="cs"/>
          <w:sz w:val="24"/>
          <w:szCs w:val="24"/>
          <w:rtl/>
        </w:rPr>
        <w:t xml:space="preserve">ולפיה תבחן תביעה להעתקת מקום מגורי הקטין בשני מעגלים: </w:t>
      </w:r>
      <w:r w:rsidRPr="00170EDB">
        <w:rPr>
          <w:rFonts w:ascii="David" w:hAnsi="David" w:cs="David"/>
          <w:sz w:val="24"/>
          <w:szCs w:val="24"/>
          <w:u w:val="single"/>
          <w:rtl/>
        </w:rPr>
        <w:t>האחד</w:t>
      </w:r>
      <w:r w:rsidRPr="00170EDB">
        <w:rPr>
          <w:rFonts w:ascii="David" w:hAnsi="David" w:cs="David"/>
          <w:sz w:val="24"/>
          <w:szCs w:val="24"/>
          <w:rtl/>
        </w:rPr>
        <w:t xml:space="preserve">, יכולת הקטין לבצע את המעבר; </w:t>
      </w:r>
      <w:r w:rsidRPr="00170EDB">
        <w:rPr>
          <w:rFonts w:ascii="David" w:hAnsi="David" w:cs="David"/>
          <w:sz w:val="24"/>
          <w:szCs w:val="24"/>
          <w:u w:val="single"/>
          <w:rtl/>
        </w:rPr>
        <w:t>השני</w:t>
      </w:r>
      <w:r w:rsidRPr="00170EDB">
        <w:rPr>
          <w:rFonts w:ascii="David" w:hAnsi="David" w:cs="David"/>
          <w:sz w:val="24"/>
          <w:szCs w:val="24"/>
          <w:rtl/>
        </w:rPr>
        <w:t xml:space="preserve">- האם המעבר יגרום לפגיעה בקשר </w:t>
      </w:r>
      <w:r w:rsidRPr="00170EDB">
        <w:rPr>
          <w:rFonts w:ascii="David" w:hAnsi="David" w:cs="David" w:hint="cs"/>
          <w:sz w:val="24"/>
          <w:szCs w:val="24"/>
          <w:rtl/>
        </w:rPr>
        <w:t xml:space="preserve">של הקטין </w:t>
      </w:r>
      <w:r w:rsidRPr="00170EDB">
        <w:rPr>
          <w:rFonts w:ascii="David" w:hAnsi="David" w:cs="David"/>
          <w:sz w:val="24"/>
          <w:szCs w:val="24"/>
          <w:rtl/>
        </w:rPr>
        <w:t>עם ההורה השני או לניתוק</w:t>
      </w:r>
      <w:r w:rsidRPr="00170EDB">
        <w:rPr>
          <w:rFonts w:ascii="David" w:hAnsi="David" w:cs="David" w:hint="cs"/>
          <w:sz w:val="24"/>
          <w:szCs w:val="24"/>
          <w:rtl/>
        </w:rPr>
        <w:t>ו</w:t>
      </w:r>
      <w:r w:rsidRPr="00170EDB">
        <w:rPr>
          <w:rFonts w:ascii="David" w:hAnsi="David" w:cs="David"/>
          <w:sz w:val="24"/>
          <w:szCs w:val="24"/>
          <w:rtl/>
        </w:rPr>
        <w:t xml:space="preserve"> מההורה השני</w:t>
      </w:r>
      <w:r w:rsidRPr="00170EDB">
        <w:rPr>
          <w:rFonts w:ascii="David" w:hAnsi="David" w:cs="David" w:hint="cs"/>
          <w:sz w:val="24"/>
          <w:szCs w:val="24"/>
          <w:rtl/>
        </w:rPr>
        <w:t xml:space="preserve"> [</w:t>
      </w:r>
      <w:hyperlink r:id="rId15" w:history="1">
        <w:r w:rsidRPr="00170EDB">
          <w:rPr>
            <w:rFonts w:ascii="David" w:hAnsi="David" w:cs="David"/>
            <w:noProof/>
            <w:sz w:val="24"/>
            <w:szCs w:val="24"/>
            <w:rtl/>
          </w:rPr>
          <w:t>עמ"ש 25108-05-20</w:t>
        </w:r>
      </w:hyperlink>
      <w:r w:rsidRPr="00170EDB">
        <w:rPr>
          <w:rFonts w:ascii="David" w:hAnsi="David" w:cs="David"/>
          <w:noProof/>
          <w:sz w:val="24"/>
          <w:szCs w:val="24"/>
          <w:rtl/>
        </w:rPr>
        <w:t xml:space="preserve"> </w:t>
      </w:r>
      <w:r w:rsidRPr="00170EDB">
        <w:rPr>
          <w:rFonts w:ascii="David" w:hAnsi="David" w:cs="David"/>
          <w:b/>
          <w:bCs/>
          <w:noProof/>
          <w:sz w:val="24"/>
          <w:szCs w:val="24"/>
          <w:rtl/>
        </w:rPr>
        <w:t>צ' נ' נ'</w:t>
      </w:r>
      <w:r w:rsidRPr="00170EDB">
        <w:rPr>
          <w:rFonts w:ascii="David" w:hAnsi="David" w:cs="David"/>
          <w:noProof/>
          <w:sz w:val="24"/>
          <w:szCs w:val="24"/>
          <w:rtl/>
        </w:rPr>
        <w:t xml:space="preserve"> </w:t>
      </w:r>
      <w:r w:rsidRPr="00170EDB">
        <w:rPr>
          <w:rFonts w:ascii="Times New Roman" w:hAnsi="Times New Roman" w:cs="David" w:hint="cs"/>
          <w:noProof/>
          <w:szCs w:val="24"/>
          <w:rtl/>
        </w:rPr>
        <w:t>(</w:t>
      </w:r>
      <w:r w:rsidRPr="00170EDB">
        <w:rPr>
          <w:rFonts w:ascii="Times New Roman" w:hAnsi="Times New Roman" w:cs="David"/>
          <w:noProof/>
          <w:szCs w:val="24"/>
          <w:rtl/>
        </w:rPr>
        <w:t>פורסם בנבו</w:t>
      </w:r>
      <w:r w:rsidRPr="00170EDB">
        <w:rPr>
          <w:rFonts w:ascii="Times New Roman" w:hAnsi="Times New Roman" w:cs="David" w:hint="cs"/>
          <w:noProof/>
          <w:szCs w:val="24"/>
          <w:rtl/>
        </w:rPr>
        <w:t xml:space="preserve">, </w:t>
      </w:r>
      <w:r w:rsidRPr="00170EDB">
        <w:rPr>
          <w:rFonts w:ascii="David" w:hAnsi="David" w:cs="David"/>
          <w:noProof/>
          <w:sz w:val="24"/>
          <w:szCs w:val="24"/>
          <w:rtl/>
        </w:rPr>
        <w:t>30.8.20)</w:t>
      </w:r>
      <w:r w:rsidRPr="00170EDB">
        <w:rPr>
          <w:rFonts w:ascii="David" w:hAnsi="David" w:cs="David" w:hint="cs"/>
          <w:sz w:val="24"/>
          <w:szCs w:val="24"/>
          <w:rtl/>
        </w:rPr>
        <w:t>]</w:t>
      </w:r>
      <w:r w:rsidRPr="00170EDB">
        <w:rPr>
          <w:rFonts w:ascii="David" w:hAnsi="David" w:cs="David"/>
          <w:sz w:val="24"/>
          <w:szCs w:val="24"/>
          <w:rtl/>
        </w:rPr>
        <w:t xml:space="preserve">. </w:t>
      </w:r>
      <w:r w:rsidRPr="00170EDB">
        <w:rPr>
          <w:rFonts w:ascii="David" w:hAnsi="David" w:cs="David" w:hint="cs"/>
          <w:sz w:val="24"/>
          <w:szCs w:val="24"/>
          <w:rtl/>
        </w:rPr>
        <w:t>האחרת</w:t>
      </w:r>
      <w:r w:rsidRPr="00170EDB">
        <w:rPr>
          <w:rFonts w:ascii="David" w:hAnsi="David" w:cs="David"/>
          <w:sz w:val="24"/>
          <w:szCs w:val="24"/>
          <w:rtl/>
        </w:rPr>
        <w:t xml:space="preserve"> היא גישה הבוחנת את טובת הקטין טרם המעבר</w:t>
      </w:r>
      <w:r w:rsidRPr="00170EDB">
        <w:rPr>
          <w:rFonts w:ascii="David" w:hAnsi="David" w:cs="David" w:hint="cs"/>
          <w:sz w:val="24"/>
          <w:szCs w:val="24"/>
          <w:rtl/>
        </w:rPr>
        <w:t>. קרי,</w:t>
      </w:r>
      <w:r w:rsidRPr="00170EDB">
        <w:rPr>
          <w:rFonts w:ascii="David" w:hAnsi="David" w:cs="David"/>
          <w:sz w:val="24"/>
          <w:szCs w:val="24"/>
          <w:rtl/>
        </w:rPr>
        <w:t xml:space="preserve"> על ההורה המבקש לשנות מקום מגוריו להוכיח </w:t>
      </w:r>
      <w:r w:rsidRPr="00170EDB">
        <w:rPr>
          <w:rFonts w:ascii="David" w:hAnsi="David" w:cs="David" w:hint="cs"/>
          <w:sz w:val="24"/>
          <w:szCs w:val="24"/>
          <w:rtl/>
        </w:rPr>
        <w:t>ש</w:t>
      </w:r>
      <w:r w:rsidRPr="00170EDB">
        <w:rPr>
          <w:rFonts w:ascii="David" w:hAnsi="David" w:cs="David"/>
          <w:sz w:val="24"/>
          <w:szCs w:val="24"/>
          <w:rtl/>
        </w:rPr>
        <w:t xml:space="preserve">המעבר </w:t>
      </w:r>
      <w:r w:rsidRPr="00170EDB">
        <w:rPr>
          <w:rFonts w:ascii="David" w:hAnsi="David" w:cs="David" w:hint="cs"/>
          <w:sz w:val="24"/>
          <w:szCs w:val="24"/>
          <w:rtl/>
        </w:rPr>
        <w:t>המבוקש</w:t>
      </w:r>
      <w:r w:rsidRPr="00170EDB">
        <w:rPr>
          <w:rFonts w:ascii="David" w:hAnsi="David" w:cs="David"/>
          <w:sz w:val="24"/>
          <w:szCs w:val="24"/>
          <w:rtl/>
        </w:rPr>
        <w:t xml:space="preserve"> עולה בקנה אחד עם טובת הילד, וכי  התועלת מן המעבר גדולה מן הנזק </w:t>
      </w:r>
      <w:r w:rsidRPr="00170EDB">
        <w:rPr>
          <w:rFonts w:ascii="David" w:hAnsi="David" w:cs="David" w:hint="cs"/>
          <w:sz w:val="24"/>
          <w:szCs w:val="24"/>
          <w:rtl/>
        </w:rPr>
        <w:t>[</w:t>
      </w:r>
      <w:r w:rsidRPr="00170EDB">
        <w:rPr>
          <w:rFonts w:ascii="David" w:hAnsi="David" w:cs="David"/>
          <w:sz w:val="24"/>
          <w:szCs w:val="24"/>
          <w:rtl/>
        </w:rPr>
        <w:t xml:space="preserve">עמ"ש (י-ם) 35652-07-12 </w:t>
      </w:r>
      <w:r w:rsidRPr="00170EDB">
        <w:rPr>
          <w:rFonts w:ascii="David" w:hAnsi="David" w:cs="David"/>
          <w:b/>
          <w:bCs/>
          <w:sz w:val="24"/>
          <w:szCs w:val="24"/>
          <w:rtl/>
        </w:rPr>
        <w:t>א.ב.ח. נ' מ.ב.ח.</w:t>
      </w:r>
      <w:r w:rsidRPr="00170EDB">
        <w:rPr>
          <w:rFonts w:ascii="David" w:hAnsi="David" w:cs="David"/>
          <w:sz w:val="24"/>
          <w:szCs w:val="24"/>
          <w:rtl/>
        </w:rPr>
        <w:t xml:space="preserve"> (</w:t>
      </w:r>
      <w:r w:rsidR="008B7DA0">
        <w:rPr>
          <w:rFonts w:ascii="David" w:hAnsi="David" w:cs="David" w:hint="cs"/>
          <w:sz w:val="24"/>
          <w:szCs w:val="24"/>
          <w:rtl/>
        </w:rPr>
        <w:t>פורסם בנבו, 9.12.12</w:t>
      </w:r>
      <w:r w:rsidRPr="00170EDB">
        <w:rPr>
          <w:rFonts w:ascii="David" w:hAnsi="David" w:cs="David"/>
          <w:sz w:val="24"/>
          <w:szCs w:val="24"/>
          <w:rtl/>
        </w:rPr>
        <w:t>)</w:t>
      </w:r>
      <w:r w:rsidRPr="00170EDB">
        <w:rPr>
          <w:rFonts w:ascii="David" w:hAnsi="David" w:cs="David" w:hint="cs"/>
          <w:sz w:val="24"/>
          <w:szCs w:val="24"/>
          <w:rtl/>
        </w:rPr>
        <w:t>]</w:t>
      </w:r>
      <w:r w:rsidRPr="00170EDB">
        <w:rPr>
          <w:rFonts w:ascii="David" w:hAnsi="David" w:cs="David"/>
          <w:sz w:val="24"/>
          <w:szCs w:val="24"/>
          <w:rtl/>
        </w:rPr>
        <w:t xml:space="preserve">. </w:t>
      </w:r>
      <w:r w:rsidRPr="00170EDB">
        <w:rPr>
          <w:rFonts w:ascii="David" w:hAnsi="David" w:cs="David" w:hint="cs"/>
          <w:sz w:val="24"/>
          <w:szCs w:val="24"/>
          <w:rtl/>
        </w:rPr>
        <w:t xml:space="preserve">במחלוקת בין הגישות עדיפה עלי הגישה השנייה ולפיה תבחן התביעה לאור עיקרון טובת הקטין בלבד </w:t>
      </w:r>
      <w:r w:rsidRPr="00CE6FA1">
        <w:rPr>
          <w:rFonts w:ascii="David" w:eastAsia="Times New Roman" w:hAnsi="David" w:cs="David"/>
          <w:sz w:val="24"/>
          <w:szCs w:val="24"/>
          <w:rtl/>
        </w:rPr>
        <w:t xml:space="preserve">(רע"א 4575/00 </w:t>
      </w:r>
      <w:r w:rsidRPr="00CE6FA1">
        <w:rPr>
          <w:rFonts w:ascii="David" w:eastAsia="Times New Roman" w:hAnsi="David" w:cs="David"/>
          <w:b/>
          <w:bCs/>
          <w:sz w:val="24"/>
          <w:szCs w:val="24"/>
          <w:rtl/>
        </w:rPr>
        <w:t>פלונית נ' אלמוני</w:t>
      </w:r>
      <w:r w:rsidRPr="00CE6FA1">
        <w:rPr>
          <w:rFonts w:ascii="David" w:eastAsia="Times New Roman" w:hAnsi="David" w:cs="David"/>
          <w:sz w:val="24"/>
          <w:szCs w:val="24"/>
          <w:rtl/>
        </w:rPr>
        <w:t>, פ"ד נה (2) 321 (2001))</w:t>
      </w:r>
      <w:r w:rsidRPr="00170EDB">
        <w:rPr>
          <w:rFonts w:ascii="David" w:eastAsia="Times New Roman" w:hAnsi="David" w:hint="cs"/>
          <w:rtl/>
        </w:rPr>
        <w:t xml:space="preserve"> </w:t>
      </w:r>
      <w:r w:rsidRPr="00170EDB">
        <w:rPr>
          <w:rFonts w:ascii="David" w:hAnsi="David" w:cs="David" w:hint="cs"/>
          <w:sz w:val="24"/>
          <w:szCs w:val="24"/>
          <w:rtl/>
        </w:rPr>
        <w:t>ומצטרפת אני לשיקולים שפירט כבוד השופט סילמן ב</w:t>
      </w:r>
      <w:r w:rsidRPr="00170EDB">
        <w:rPr>
          <w:rFonts w:ascii="Times New Roman" w:eastAsia="Times New Roman" w:hAnsi="Times New Roman" w:cs="David"/>
          <w:sz w:val="24"/>
          <w:szCs w:val="24"/>
          <w:rtl/>
          <w:lang w:eastAsia="he-IL"/>
        </w:rPr>
        <w:t xml:space="preserve">תמ"ש 8958-11-16 </w:t>
      </w:r>
      <w:r w:rsidRPr="00170EDB">
        <w:rPr>
          <w:rFonts w:ascii="Times New Roman" w:eastAsia="Times New Roman" w:hAnsi="Times New Roman" w:cs="David"/>
          <w:b/>
          <w:bCs/>
          <w:sz w:val="24"/>
          <w:szCs w:val="24"/>
          <w:rtl/>
          <w:lang w:eastAsia="he-IL"/>
        </w:rPr>
        <w:t>ל.א נ' ב.א</w:t>
      </w:r>
      <w:r w:rsidRPr="00170EDB">
        <w:rPr>
          <w:rFonts w:ascii="Times New Roman" w:eastAsia="Times New Roman" w:hAnsi="Times New Roman" w:cs="David"/>
          <w:sz w:val="24"/>
          <w:szCs w:val="24"/>
          <w:rtl/>
          <w:lang w:eastAsia="he-IL"/>
        </w:rPr>
        <w:t xml:space="preserve"> (</w:t>
      </w:r>
      <w:r w:rsidRPr="00170EDB">
        <w:rPr>
          <w:rFonts w:ascii="Times New Roman" w:eastAsia="Times New Roman" w:hAnsi="Times New Roman" w:cs="David" w:hint="cs"/>
          <w:sz w:val="24"/>
          <w:szCs w:val="24"/>
          <w:rtl/>
          <w:lang w:eastAsia="he-IL"/>
        </w:rPr>
        <w:t>פ</w:t>
      </w:r>
      <w:r>
        <w:rPr>
          <w:rFonts w:ascii="Times New Roman" w:eastAsia="Times New Roman" w:hAnsi="Times New Roman" w:cs="David" w:hint="cs"/>
          <w:sz w:val="24"/>
          <w:szCs w:val="24"/>
          <w:rtl/>
          <w:lang w:eastAsia="he-IL"/>
        </w:rPr>
        <w:t>ו</w:t>
      </w:r>
      <w:r w:rsidRPr="00170EDB">
        <w:rPr>
          <w:rFonts w:ascii="Times New Roman" w:eastAsia="Times New Roman" w:hAnsi="Times New Roman" w:cs="David" w:hint="cs"/>
          <w:sz w:val="24"/>
          <w:szCs w:val="24"/>
          <w:rtl/>
          <w:lang w:eastAsia="he-IL"/>
        </w:rPr>
        <w:t>רסם ב</w:t>
      </w:r>
      <w:r w:rsidRPr="00170EDB">
        <w:rPr>
          <w:rFonts w:ascii="Times New Roman" w:eastAsia="Times New Roman" w:hAnsi="Times New Roman" w:cs="David"/>
          <w:sz w:val="24"/>
          <w:szCs w:val="24"/>
          <w:rtl/>
          <w:lang w:eastAsia="he-IL"/>
        </w:rPr>
        <w:t>נבו, 25.7.17</w:t>
      </w:r>
      <w:r w:rsidRPr="00170EDB">
        <w:rPr>
          <w:rFonts w:ascii="Times New Roman" w:eastAsia="Times New Roman" w:hAnsi="Times New Roman" w:cs="David" w:hint="cs"/>
          <w:sz w:val="24"/>
          <w:szCs w:val="24"/>
          <w:rtl/>
          <w:lang w:eastAsia="he-IL"/>
        </w:rPr>
        <w:t>).  מכל מקום</w:t>
      </w:r>
      <w:r>
        <w:rPr>
          <w:rFonts w:ascii="Times New Roman" w:eastAsia="Times New Roman" w:hAnsi="Times New Roman" w:cs="David" w:hint="cs"/>
          <w:sz w:val="24"/>
          <w:szCs w:val="24"/>
          <w:rtl/>
          <w:lang w:eastAsia="he-IL"/>
        </w:rPr>
        <w:t>, הקו העולה מהפסיקה הוא ברור ולפיו אל מול הזכות של התובעת להעתיק את מקום מגוריה לעיר ראשון לציון יש לבחון את השפעת המעבר על היקף וטיב הקשר האפשרי בין הנתבע לבין הקטין.</w:t>
      </w:r>
    </w:p>
    <w:p w:rsidR="008C3E5E" w:rsidRDefault="008C3E5E" w:rsidP="008B7DA0">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lastRenderedPageBreak/>
        <w:t>בענייננו, העו"ס לסדרי דין שבחנה את טובת הקטין הקונקרטי העומד לדיון, התרשמה שטובת הקטין היא בדחיית התביעה משום שהתרת המעבר תפגע "בקשר הטוב והחשוב" בין הקטין לנתבע "ובזמני השהות הקיימים היום".</w:t>
      </w:r>
    </w:p>
    <w:p w:rsidR="008C3E5E" w:rsidRPr="008B7DA0" w:rsidRDefault="008C3E5E" w:rsidP="008B7DA0">
      <w:pPr>
        <w:pStyle w:val="ad"/>
        <w:spacing w:after="0" w:line="360" w:lineRule="auto"/>
        <w:jc w:val="both"/>
        <w:rPr>
          <w:rFonts w:ascii="David" w:hAnsi="David" w:cs="David"/>
          <w:sz w:val="24"/>
          <w:szCs w:val="24"/>
        </w:rPr>
      </w:pPr>
    </w:p>
    <w:p w:rsidR="008C3E5E" w:rsidRPr="00695341" w:rsidRDefault="008C3E5E" w:rsidP="008B7DA0">
      <w:pPr>
        <w:pStyle w:val="ad"/>
        <w:numPr>
          <w:ilvl w:val="0"/>
          <w:numId w:val="1"/>
        </w:numPr>
        <w:spacing w:after="0" w:line="360" w:lineRule="auto"/>
        <w:jc w:val="both"/>
        <w:rPr>
          <w:rFonts w:ascii="David" w:hAnsi="David" w:cs="David"/>
          <w:sz w:val="24"/>
          <w:szCs w:val="24"/>
        </w:rPr>
      </w:pPr>
      <w:r w:rsidRPr="00695341">
        <w:rPr>
          <w:rFonts w:ascii="David" w:eastAsia="Times New Roman" w:hAnsi="David" w:cs="David"/>
          <w:sz w:val="24"/>
          <w:szCs w:val="24"/>
          <w:rtl/>
        </w:rPr>
        <w:t>בהתאם לפסיקה יש לייחס משקל משמעותי להמלצות התסקיר שכן "</w:t>
      </w:r>
      <w:r w:rsidRPr="00695341">
        <w:rPr>
          <w:rFonts w:ascii="Miriam" w:eastAsia="Times New Roman" w:hAnsi="Miriam" w:cs="Miriam"/>
          <w:b/>
          <w:bCs/>
          <w:sz w:val="24"/>
          <w:szCs w:val="24"/>
          <w:rtl/>
        </w:rPr>
        <w:t>העובדים הסוציאליים הם בעלי הכלים והניסיון לצורך בחינת השאלות המתעוררות בכל מקרה ומקרה, בעין אובייקטיבית, בשל היותם גורם נייטרלי בלתי מוטה לצידו של מי מהנפשות הפועלות</w:t>
      </w:r>
      <w:r w:rsidRPr="00695341">
        <w:rPr>
          <w:rFonts w:ascii="David" w:eastAsia="Times New Roman" w:hAnsi="David" w:cs="David"/>
          <w:sz w:val="24"/>
          <w:szCs w:val="24"/>
          <w:rtl/>
        </w:rPr>
        <w:t xml:space="preserve">" </w:t>
      </w:r>
      <w:r>
        <w:rPr>
          <w:rFonts w:ascii="David" w:eastAsia="Times New Roman" w:hAnsi="David" w:cs="David" w:hint="cs"/>
          <w:sz w:val="24"/>
          <w:szCs w:val="24"/>
          <w:rtl/>
        </w:rPr>
        <w:t>[</w:t>
      </w:r>
      <w:r w:rsidRPr="00695341">
        <w:rPr>
          <w:rFonts w:ascii="David" w:eastAsia="Times New Roman" w:hAnsi="David" w:cs="David"/>
          <w:sz w:val="24"/>
          <w:szCs w:val="24"/>
          <w:rtl/>
        </w:rPr>
        <w:t xml:space="preserve">א"פ (ירושלים) 39398-01-17‏ </w:t>
      </w:r>
      <w:r w:rsidRPr="00695341">
        <w:rPr>
          <w:rFonts w:ascii="David" w:eastAsia="Times New Roman" w:hAnsi="David" w:cs="David"/>
          <w:b/>
          <w:bCs/>
          <w:sz w:val="24"/>
          <w:szCs w:val="24"/>
          <w:rtl/>
        </w:rPr>
        <w:t>מ.נ נ' ב"כ היועץ המשפטי לממשלה במשרד הרווחה</w:t>
      </w:r>
      <w:r w:rsidRPr="00695341">
        <w:rPr>
          <w:rFonts w:ascii="David" w:eastAsia="Times New Roman" w:hAnsi="David" w:cs="David"/>
          <w:sz w:val="24"/>
          <w:szCs w:val="24"/>
          <w:rtl/>
        </w:rPr>
        <w:t>‏ (</w:t>
      </w:r>
      <w:r>
        <w:rPr>
          <w:rFonts w:ascii="David" w:eastAsia="Times New Roman" w:hAnsi="David" w:cs="David" w:hint="cs"/>
          <w:sz w:val="24"/>
          <w:szCs w:val="24"/>
          <w:rtl/>
        </w:rPr>
        <w:t xml:space="preserve">פורסם בנבו, </w:t>
      </w:r>
      <w:r w:rsidRPr="00695341">
        <w:rPr>
          <w:rFonts w:ascii="David" w:eastAsia="Times New Roman" w:hAnsi="David" w:cs="David"/>
          <w:sz w:val="24"/>
          <w:szCs w:val="24"/>
          <w:rtl/>
        </w:rPr>
        <w:t>19.4.18)</w:t>
      </w:r>
      <w:r>
        <w:rPr>
          <w:rFonts w:ascii="David" w:eastAsia="Times New Roman" w:hAnsi="David" w:cs="David" w:hint="cs"/>
          <w:sz w:val="24"/>
          <w:szCs w:val="24"/>
          <w:rtl/>
        </w:rPr>
        <w:t>]</w:t>
      </w:r>
      <w:r w:rsidRPr="00695341">
        <w:rPr>
          <w:rFonts w:ascii="David" w:eastAsia="Times New Roman" w:hAnsi="David" w:cs="David"/>
          <w:sz w:val="24"/>
          <w:szCs w:val="24"/>
          <w:rtl/>
        </w:rPr>
        <w:t xml:space="preserve">. עו"ס לסדרי דין פועלת בבחינת מומחית לעניין טובת </w:t>
      </w:r>
      <w:r>
        <w:rPr>
          <w:rFonts w:ascii="David" w:eastAsia="Times New Roman" w:hAnsi="David" w:cs="David" w:hint="cs"/>
          <w:sz w:val="24"/>
          <w:szCs w:val="24"/>
          <w:rtl/>
        </w:rPr>
        <w:t>הקטין</w:t>
      </w:r>
      <w:r w:rsidRPr="00695341">
        <w:rPr>
          <w:rFonts w:ascii="David" w:eastAsia="Times New Roman" w:hAnsi="David" w:cs="David"/>
          <w:sz w:val="24"/>
          <w:szCs w:val="24"/>
          <w:rtl/>
        </w:rPr>
        <w:t xml:space="preserve"> ובהתאם לפסיקה בית המשפט יסטה מהמלצותיה רק אם "</w:t>
      </w:r>
      <w:r w:rsidRPr="00695341">
        <w:rPr>
          <w:rFonts w:ascii="Miriam" w:eastAsia="Times New Roman" w:hAnsi="Miriam" w:cs="Miriam"/>
          <w:b/>
          <w:bCs/>
          <w:sz w:val="24"/>
          <w:szCs w:val="24"/>
          <w:rtl/>
        </w:rPr>
        <w:t>קיימים טעמים נכבדים ובעלי משקל ממשי, המצדיקים סטייה מאותה המלצה</w:t>
      </w:r>
      <w:r>
        <w:rPr>
          <w:rFonts w:ascii="David" w:eastAsia="Times New Roman" w:hAnsi="David" w:cs="David"/>
          <w:sz w:val="24"/>
          <w:szCs w:val="24"/>
          <w:rtl/>
        </w:rPr>
        <w:t xml:space="preserve">" </w:t>
      </w:r>
      <w:r>
        <w:rPr>
          <w:rFonts w:ascii="David" w:eastAsia="Times New Roman" w:hAnsi="David" w:cs="David" w:hint="cs"/>
          <w:sz w:val="24"/>
          <w:szCs w:val="24"/>
          <w:rtl/>
        </w:rPr>
        <w:t>[</w:t>
      </w:r>
      <w:r w:rsidRPr="00695341">
        <w:rPr>
          <w:rFonts w:ascii="David" w:eastAsia="Times New Roman" w:hAnsi="David" w:cs="David"/>
          <w:sz w:val="24"/>
          <w:szCs w:val="24"/>
          <w:rtl/>
        </w:rPr>
        <w:t xml:space="preserve">בע"מ 9358/04 </w:t>
      </w:r>
      <w:r w:rsidRPr="00695341">
        <w:rPr>
          <w:rFonts w:ascii="David" w:eastAsia="Times New Roman" w:hAnsi="David" w:cs="David"/>
          <w:b/>
          <w:bCs/>
          <w:sz w:val="24"/>
          <w:szCs w:val="24"/>
          <w:rtl/>
        </w:rPr>
        <w:t>פלונית נ' פלוני</w:t>
      </w:r>
      <w:r w:rsidRPr="00695341">
        <w:rPr>
          <w:rFonts w:ascii="David" w:eastAsia="Times New Roman" w:hAnsi="David" w:cs="David"/>
          <w:sz w:val="24"/>
          <w:szCs w:val="24"/>
          <w:rtl/>
        </w:rPr>
        <w:t xml:space="preserve"> (</w:t>
      </w:r>
      <w:r w:rsidR="008B7DA0">
        <w:rPr>
          <w:rFonts w:ascii="David" w:eastAsia="Times New Roman" w:hAnsi="David" w:cs="David" w:hint="cs"/>
          <w:sz w:val="24"/>
          <w:szCs w:val="24"/>
          <w:rtl/>
        </w:rPr>
        <w:t xml:space="preserve">פורסם בנבו, </w:t>
      </w:r>
      <w:r w:rsidRPr="00695341">
        <w:rPr>
          <w:rFonts w:ascii="David" w:eastAsia="Times New Roman" w:hAnsi="David" w:cs="David"/>
          <w:sz w:val="24"/>
          <w:szCs w:val="24"/>
          <w:rtl/>
        </w:rPr>
        <w:t xml:space="preserve">2.5.05); בע"מ 4259/06‏ </w:t>
      </w:r>
      <w:r w:rsidRPr="00695341">
        <w:rPr>
          <w:rFonts w:ascii="David" w:eastAsia="Times New Roman" w:hAnsi="David" w:cs="David"/>
          <w:b/>
          <w:bCs/>
          <w:sz w:val="24"/>
          <w:szCs w:val="24"/>
          <w:rtl/>
        </w:rPr>
        <w:t>פלוני נ' היועץ המשפטי לממשלה</w:t>
      </w:r>
      <w:r>
        <w:rPr>
          <w:rFonts w:ascii="David" w:eastAsia="Times New Roman" w:hAnsi="David" w:cs="David"/>
          <w:sz w:val="24"/>
          <w:szCs w:val="24"/>
          <w:rtl/>
        </w:rPr>
        <w:t xml:space="preserve"> (</w:t>
      </w:r>
      <w:r w:rsidR="008B7DA0">
        <w:rPr>
          <w:rFonts w:ascii="David" w:eastAsia="Times New Roman" w:hAnsi="David" w:cs="David" w:hint="cs"/>
          <w:sz w:val="24"/>
          <w:szCs w:val="24"/>
          <w:rtl/>
        </w:rPr>
        <w:t xml:space="preserve">פורסם בנבו, </w:t>
      </w:r>
      <w:r>
        <w:rPr>
          <w:rFonts w:ascii="David" w:eastAsia="Times New Roman" w:hAnsi="David" w:cs="David"/>
          <w:sz w:val="24"/>
          <w:szCs w:val="24"/>
          <w:rtl/>
        </w:rPr>
        <w:t>13.7.06)</w:t>
      </w:r>
      <w:r>
        <w:rPr>
          <w:rFonts w:ascii="David" w:eastAsia="Times New Roman" w:hAnsi="David" w:cs="David" w:hint="cs"/>
          <w:sz w:val="24"/>
          <w:szCs w:val="24"/>
          <w:rtl/>
        </w:rPr>
        <w:t>]</w:t>
      </w:r>
      <w:r w:rsidRPr="00695341">
        <w:rPr>
          <w:rFonts w:ascii="David" w:eastAsia="Times New Roman" w:hAnsi="David" w:cs="David"/>
          <w:sz w:val="24"/>
          <w:szCs w:val="24"/>
          <w:rtl/>
        </w:rPr>
        <w:t>. פסיקה זו רלבנטית גם לתסקירים הנערכים על ידי עובדים סוציאליים לסדרי דין, שכן "</w:t>
      </w:r>
      <w:r w:rsidRPr="00695341">
        <w:rPr>
          <w:rFonts w:ascii="Miriam" w:eastAsia="Times New Roman" w:hAnsi="Miriam" w:cs="Miriam"/>
          <w:b/>
          <w:bCs/>
          <w:sz w:val="24"/>
          <w:szCs w:val="24"/>
          <w:rtl/>
        </w:rPr>
        <w:t>יש לראות בתסקיר ובמסקנות ועדת התסקירים כחוות דעת מומחה... וככל שמבקש בית המשפט לסטות מאותן המלצות, עליו לנמק ולהסביר מדוע מצא לנכון להורות כן</w:t>
      </w:r>
      <w:r>
        <w:rPr>
          <w:rFonts w:ascii="David" w:eastAsia="Times New Roman" w:hAnsi="David" w:cs="David"/>
          <w:sz w:val="24"/>
          <w:szCs w:val="24"/>
          <w:rtl/>
        </w:rPr>
        <w:t xml:space="preserve">" </w:t>
      </w:r>
      <w:r>
        <w:rPr>
          <w:rFonts w:ascii="David" w:eastAsia="Times New Roman" w:hAnsi="David" w:cs="David" w:hint="cs"/>
          <w:sz w:val="24"/>
          <w:szCs w:val="24"/>
          <w:rtl/>
        </w:rPr>
        <w:t>[</w:t>
      </w:r>
      <w:r w:rsidRPr="00695341">
        <w:rPr>
          <w:rFonts w:ascii="David" w:eastAsia="Times New Roman" w:hAnsi="David" w:cs="David"/>
          <w:sz w:val="24"/>
          <w:szCs w:val="24"/>
          <w:rtl/>
        </w:rPr>
        <w:t>עמ"ש (מחוזי תל אביב) 55785-02-12‏ ‏</w:t>
      </w:r>
      <w:r w:rsidRPr="00695341">
        <w:rPr>
          <w:rFonts w:ascii="David" w:eastAsia="Times New Roman" w:hAnsi="David" w:cs="David"/>
          <w:b/>
          <w:bCs/>
          <w:sz w:val="24"/>
          <w:szCs w:val="24"/>
          <w:rtl/>
        </w:rPr>
        <w:t>ק.ש. נ' ע.ש.‏</w:t>
      </w:r>
      <w:r w:rsidRPr="00695341">
        <w:rPr>
          <w:rFonts w:ascii="David" w:eastAsia="Times New Roman" w:hAnsi="David" w:cs="David"/>
          <w:sz w:val="24"/>
          <w:szCs w:val="24"/>
          <w:rtl/>
        </w:rPr>
        <w:t xml:space="preserve"> (</w:t>
      </w:r>
      <w:r w:rsidR="00A12F1E">
        <w:rPr>
          <w:rFonts w:ascii="David" w:eastAsia="Times New Roman" w:hAnsi="David" w:cs="David" w:hint="cs"/>
          <w:sz w:val="24"/>
          <w:szCs w:val="24"/>
          <w:rtl/>
        </w:rPr>
        <w:t xml:space="preserve">פורסם בנבו, </w:t>
      </w:r>
      <w:r w:rsidRPr="00695341">
        <w:rPr>
          <w:rFonts w:ascii="David" w:eastAsia="Times New Roman" w:hAnsi="David" w:cs="David"/>
          <w:sz w:val="24"/>
          <w:szCs w:val="24"/>
          <w:rtl/>
        </w:rPr>
        <w:t>20.9.12)</w:t>
      </w:r>
      <w:r>
        <w:rPr>
          <w:rFonts w:ascii="David" w:eastAsia="Times New Roman" w:hAnsi="David" w:cs="David" w:hint="cs"/>
          <w:sz w:val="24"/>
          <w:szCs w:val="24"/>
          <w:rtl/>
        </w:rPr>
        <w:t>]</w:t>
      </w:r>
      <w:r w:rsidRPr="00695341">
        <w:rPr>
          <w:rFonts w:ascii="David" w:eastAsia="Times New Roman" w:hAnsi="David" w:cs="David"/>
          <w:sz w:val="24"/>
          <w:szCs w:val="24"/>
          <w:rtl/>
        </w:rPr>
        <w:t xml:space="preserve">. </w:t>
      </w:r>
    </w:p>
    <w:p w:rsidR="008C3E5E" w:rsidRPr="00695341" w:rsidRDefault="008C3E5E" w:rsidP="008B7DA0">
      <w:pPr>
        <w:pStyle w:val="ad"/>
        <w:spacing w:after="0" w:line="360" w:lineRule="auto"/>
        <w:rPr>
          <w:rFonts w:ascii="David" w:eastAsia="Times New Roman" w:hAnsi="David" w:cs="David"/>
          <w:sz w:val="24"/>
          <w:szCs w:val="24"/>
          <w:rtl/>
        </w:rPr>
      </w:pPr>
    </w:p>
    <w:p w:rsidR="008C3E5E" w:rsidRPr="009363A6" w:rsidRDefault="008C3E5E" w:rsidP="008B7DA0">
      <w:pPr>
        <w:numPr>
          <w:ilvl w:val="0"/>
          <w:numId w:val="1"/>
        </w:numPr>
        <w:spacing w:line="360" w:lineRule="auto"/>
        <w:jc w:val="both"/>
        <w:rPr>
          <w:rFonts w:ascii="Arial" w:hAnsi="Arial"/>
        </w:rPr>
      </w:pPr>
      <w:r w:rsidRPr="009363A6">
        <w:rPr>
          <w:rFonts w:ascii="Arial" w:hAnsi="Arial"/>
          <w:rtl/>
        </w:rPr>
        <w:t>לאחר העיון בתסקיר</w:t>
      </w:r>
      <w:r>
        <w:rPr>
          <w:rFonts w:ascii="Arial" w:hAnsi="Arial" w:hint="cs"/>
          <w:rtl/>
        </w:rPr>
        <w:t xml:space="preserve"> </w:t>
      </w:r>
      <w:r w:rsidRPr="009363A6">
        <w:rPr>
          <w:rFonts w:ascii="Arial" w:hAnsi="Arial"/>
          <w:rtl/>
        </w:rPr>
        <w:t xml:space="preserve">וההתרשמות הישירה מתשובותיה של העו"ס לשאלות </w:t>
      </w:r>
      <w:r>
        <w:rPr>
          <w:rFonts w:ascii="Arial" w:hAnsi="Arial" w:hint="cs"/>
          <w:rtl/>
        </w:rPr>
        <w:t xml:space="preserve">התובעת </w:t>
      </w:r>
      <w:r w:rsidR="00CE6FA1">
        <w:rPr>
          <w:rFonts w:ascii="Arial" w:hAnsi="Arial"/>
          <w:rtl/>
        </w:rPr>
        <w:t>בדיון</w:t>
      </w:r>
      <w:r w:rsidRPr="009363A6">
        <w:rPr>
          <w:rFonts w:ascii="Arial" w:hAnsi="Arial"/>
          <w:rtl/>
        </w:rPr>
        <w:t xml:space="preserve"> סבורתני כי לא רק שלא הוצגו "</w:t>
      </w:r>
      <w:r w:rsidRPr="00695341">
        <w:rPr>
          <w:rFonts w:ascii="Miriam" w:hAnsi="Miriam" w:cs="Miriam"/>
          <w:b/>
          <w:bCs/>
          <w:rtl/>
        </w:rPr>
        <w:t>טעמים נכבדים ובעלי משקל ממשי</w:t>
      </w:r>
      <w:r w:rsidRPr="009363A6">
        <w:rPr>
          <w:rFonts w:ascii="Arial" w:hAnsi="Arial"/>
          <w:rtl/>
        </w:rPr>
        <w:t>" המצדיקים לסטות מההמלצות (וזוהי אמת המידה המשפטית), אלא שגם מדובר בהמלצות ראויות ומסתברות בנסיבות</w:t>
      </w:r>
      <w:r w:rsidR="0098610E">
        <w:rPr>
          <w:rFonts w:ascii="Arial" w:hAnsi="Arial" w:hint="cs"/>
          <w:rtl/>
        </w:rPr>
        <w:t>, המשקפות כראוי את טובת הקטין ויש לאמצן לגופן</w:t>
      </w:r>
      <w:r w:rsidRPr="009363A6">
        <w:rPr>
          <w:rFonts w:ascii="Arial" w:hAnsi="Arial"/>
          <w:rtl/>
        </w:rPr>
        <w:t xml:space="preserve">. </w:t>
      </w:r>
    </w:p>
    <w:p w:rsidR="008C3E5E" w:rsidRPr="0098610E" w:rsidRDefault="008C3E5E" w:rsidP="008B7DA0">
      <w:pPr>
        <w:pStyle w:val="ad"/>
        <w:spacing w:after="0" w:line="360" w:lineRule="auto"/>
        <w:rPr>
          <w:rFonts w:ascii="David" w:hAnsi="David" w:cs="David"/>
          <w:sz w:val="24"/>
          <w:szCs w:val="24"/>
          <w:rtl/>
        </w:rPr>
      </w:pPr>
    </w:p>
    <w:p w:rsidR="008C3E5E" w:rsidRDefault="008C3E5E" w:rsidP="00B45811">
      <w:pPr>
        <w:pStyle w:val="ad"/>
        <w:numPr>
          <w:ilvl w:val="0"/>
          <w:numId w:val="1"/>
        </w:numPr>
        <w:spacing w:after="0" w:line="360" w:lineRule="auto"/>
        <w:jc w:val="both"/>
        <w:rPr>
          <w:rFonts w:ascii="David" w:hAnsi="David" w:cs="David"/>
          <w:sz w:val="24"/>
          <w:szCs w:val="24"/>
        </w:rPr>
      </w:pPr>
      <w:r w:rsidRPr="00AB02B0">
        <w:rPr>
          <w:rFonts w:ascii="David" w:hAnsi="David" w:cs="David" w:hint="cs"/>
          <w:sz w:val="24"/>
          <w:szCs w:val="24"/>
          <w:rtl/>
        </w:rPr>
        <w:t xml:space="preserve">בתסקיר לא התייחסה </w:t>
      </w:r>
      <w:r w:rsidR="00B45811">
        <w:rPr>
          <w:rFonts w:ascii="David" w:hAnsi="David" w:cs="David" w:hint="cs"/>
          <w:sz w:val="24"/>
          <w:szCs w:val="24"/>
          <w:rtl/>
        </w:rPr>
        <w:t>ה</w:t>
      </w:r>
      <w:r w:rsidRPr="00AB02B0">
        <w:rPr>
          <w:rFonts w:ascii="David" w:hAnsi="David" w:cs="David" w:hint="cs"/>
          <w:sz w:val="24"/>
          <w:szCs w:val="24"/>
          <w:rtl/>
        </w:rPr>
        <w:t xml:space="preserve">עו"ס </w:t>
      </w:r>
      <w:r>
        <w:rPr>
          <w:rFonts w:ascii="David" w:hAnsi="David" w:cs="David" w:hint="cs"/>
          <w:sz w:val="24"/>
          <w:szCs w:val="24"/>
          <w:rtl/>
        </w:rPr>
        <w:t>ליכולת הקטין לבצע את המעבר. נקודת המוצא לאור גילו של הקטין שהוא יכול לבצע את המעבר</w:t>
      </w:r>
      <w:r w:rsidRPr="00AB02B0">
        <w:rPr>
          <w:rFonts w:ascii="David" w:hAnsi="David" w:cs="David" w:hint="cs"/>
          <w:sz w:val="24"/>
          <w:szCs w:val="24"/>
          <w:rtl/>
        </w:rPr>
        <w:t xml:space="preserve"> </w:t>
      </w:r>
      <w:r>
        <w:rPr>
          <w:rFonts w:ascii="David" w:hAnsi="David" w:cs="David" w:hint="cs"/>
          <w:sz w:val="24"/>
          <w:szCs w:val="24"/>
          <w:rtl/>
        </w:rPr>
        <w:t xml:space="preserve">[השוו: עמ"ש (חיפה) 25108-05-20 </w:t>
      </w:r>
      <w:r w:rsidRPr="00AB02B0">
        <w:rPr>
          <w:rFonts w:ascii="David" w:hAnsi="David" w:cs="David" w:hint="cs"/>
          <w:b/>
          <w:bCs/>
          <w:sz w:val="24"/>
          <w:szCs w:val="24"/>
          <w:rtl/>
        </w:rPr>
        <w:t>א' צ' נ' ש' נ'</w:t>
      </w:r>
      <w:r>
        <w:rPr>
          <w:rFonts w:ascii="David" w:hAnsi="David" w:cs="David" w:hint="cs"/>
          <w:sz w:val="24"/>
          <w:szCs w:val="24"/>
          <w:rtl/>
        </w:rPr>
        <w:t xml:space="preserve"> (פורסם בנבו, 30.8.20)] </w:t>
      </w:r>
      <w:r w:rsidR="00CE6FA1">
        <w:rPr>
          <w:rFonts w:ascii="David" w:hAnsi="David" w:cs="David" w:hint="cs"/>
          <w:sz w:val="24"/>
          <w:szCs w:val="24"/>
          <w:rtl/>
        </w:rPr>
        <w:t>ו</w:t>
      </w:r>
      <w:r>
        <w:rPr>
          <w:rFonts w:ascii="David" w:hAnsi="David" w:cs="David" w:hint="cs"/>
          <w:sz w:val="24"/>
          <w:szCs w:val="24"/>
          <w:rtl/>
        </w:rPr>
        <w:t xml:space="preserve">כך עולה גם מהאמור בתסקיר וגם </w:t>
      </w:r>
      <w:r w:rsidRPr="00AB02B0">
        <w:rPr>
          <w:rFonts w:ascii="David" w:hAnsi="David" w:cs="David" w:hint="cs"/>
          <w:sz w:val="24"/>
          <w:szCs w:val="24"/>
          <w:rtl/>
        </w:rPr>
        <w:t>מתשובות העו"ס בדיון</w:t>
      </w:r>
      <w:r w:rsidR="00206BC7">
        <w:rPr>
          <w:rFonts w:ascii="David" w:hAnsi="David" w:cs="David" w:hint="cs"/>
          <w:sz w:val="24"/>
          <w:szCs w:val="24"/>
          <w:rtl/>
        </w:rPr>
        <w:t xml:space="preserve"> (עמ' 1 שורה 23 לפרוטוקול)</w:t>
      </w:r>
      <w:r>
        <w:rPr>
          <w:rFonts w:ascii="David" w:hAnsi="David" w:cs="David" w:hint="cs"/>
          <w:sz w:val="24"/>
          <w:szCs w:val="24"/>
          <w:rtl/>
        </w:rPr>
        <w:t>.</w:t>
      </w:r>
      <w:r w:rsidRPr="00AB02B0">
        <w:rPr>
          <w:rFonts w:ascii="David" w:hAnsi="David" w:cs="David" w:hint="cs"/>
          <w:sz w:val="24"/>
          <w:szCs w:val="24"/>
          <w:rtl/>
        </w:rPr>
        <w:t xml:space="preserve"> השיקול </w:t>
      </w:r>
      <w:r>
        <w:rPr>
          <w:rFonts w:ascii="David" w:hAnsi="David" w:cs="David" w:hint="cs"/>
          <w:sz w:val="24"/>
          <w:szCs w:val="24"/>
          <w:rtl/>
        </w:rPr>
        <w:t>המרכזי בהמלצת העו"ס ש</w:t>
      </w:r>
      <w:r w:rsidR="00776C7F">
        <w:rPr>
          <w:rFonts w:ascii="David" w:hAnsi="David" w:cs="David" w:hint="cs"/>
          <w:sz w:val="24"/>
          <w:szCs w:val="24"/>
          <w:rtl/>
        </w:rPr>
        <w:t>טובת הקטין אינה להעתיק את מקום מגוריו</w:t>
      </w:r>
      <w:r>
        <w:rPr>
          <w:rFonts w:ascii="David" w:hAnsi="David" w:cs="David" w:hint="cs"/>
          <w:sz w:val="24"/>
          <w:szCs w:val="24"/>
          <w:rtl/>
        </w:rPr>
        <w:t xml:space="preserve"> נעוץ ב</w:t>
      </w:r>
      <w:r w:rsidRPr="00AB02B0">
        <w:rPr>
          <w:rFonts w:ascii="David" w:hAnsi="David" w:cs="David" w:hint="cs"/>
          <w:sz w:val="24"/>
          <w:szCs w:val="24"/>
          <w:rtl/>
        </w:rPr>
        <w:t xml:space="preserve">מרחק הגיאוגרפי בעטיו לא ניתן יהיה לשמור על חלוקת זמני השהות המתקיימת כיום ועל הקשר הקרוב בין הקטין לנתבע, המטיב עמו. </w:t>
      </w:r>
    </w:p>
    <w:p w:rsidR="008C3E5E" w:rsidRPr="00AB02B0" w:rsidRDefault="008C3E5E" w:rsidP="008B7DA0">
      <w:pPr>
        <w:pStyle w:val="ad"/>
        <w:spacing w:after="0" w:line="360" w:lineRule="auto"/>
        <w:rPr>
          <w:rFonts w:ascii="David" w:hAnsi="David" w:cs="David"/>
          <w:sz w:val="24"/>
          <w:szCs w:val="24"/>
          <w:rtl/>
        </w:rPr>
      </w:pPr>
    </w:p>
    <w:p w:rsidR="008C3E5E" w:rsidRDefault="008C3E5E" w:rsidP="008B7DA0">
      <w:pPr>
        <w:pStyle w:val="ad"/>
        <w:numPr>
          <w:ilvl w:val="0"/>
          <w:numId w:val="1"/>
        </w:numPr>
        <w:spacing w:after="0" w:line="360" w:lineRule="auto"/>
        <w:jc w:val="both"/>
        <w:rPr>
          <w:rFonts w:ascii="David" w:hAnsi="David" w:cs="David"/>
          <w:sz w:val="24"/>
          <w:szCs w:val="24"/>
        </w:rPr>
      </w:pPr>
      <w:r w:rsidRPr="00AB02B0">
        <w:rPr>
          <w:rFonts w:ascii="David" w:hAnsi="David" w:cs="David"/>
          <w:sz w:val="24"/>
          <w:szCs w:val="24"/>
          <w:rtl/>
        </w:rPr>
        <w:t xml:space="preserve">חלוקת זמני השהות של הקטין בין הצדדים כפי שנקבעה בהסכם היא שהקטין שוהה עם הנתבע פעמיים באמצע השבוע, כאשר אחת מהפעמים כוללת לינה, וכן בכל סוף שבוע שני. הנה כי כן, הקטין שוהה עם הנתבע 3 לילות מתוך 14 במחזוריות של שבועיים, וכן אחר הצהריים נוסף בכל שבוע. </w:t>
      </w:r>
    </w:p>
    <w:p w:rsidR="00776C7F" w:rsidRPr="00776C7F" w:rsidRDefault="00776C7F" w:rsidP="008B7DA0">
      <w:pPr>
        <w:pStyle w:val="ad"/>
        <w:spacing w:after="0" w:line="360" w:lineRule="auto"/>
        <w:rPr>
          <w:rFonts w:ascii="David" w:hAnsi="David" w:cs="David"/>
          <w:sz w:val="24"/>
          <w:szCs w:val="24"/>
          <w:rtl/>
        </w:rPr>
      </w:pPr>
    </w:p>
    <w:p w:rsidR="008C3E5E" w:rsidRDefault="008C3E5E" w:rsidP="008B7DA0">
      <w:pPr>
        <w:pStyle w:val="ad"/>
        <w:numPr>
          <w:ilvl w:val="0"/>
          <w:numId w:val="1"/>
        </w:numPr>
        <w:spacing w:after="0" w:line="360" w:lineRule="auto"/>
        <w:jc w:val="both"/>
        <w:rPr>
          <w:rFonts w:ascii="David" w:hAnsi="David" w:cs="David"/>
          <w:sz w:val="24"/>
          <w:szCs w:val="24"/>
          <w:rtl/>
        </w:rPr>
      </w:pPr>
      <w:r w:rsidRPr="00AB02B0">
        <w:rPr>
          <w:rFonts w:ascii="David" w:hAnsi="David" w:cs="David" w:hint="cs"/>
          <w:sz w:val="24"/>
          <w:szCs w:val="24"/>
          <w:rtl/>
        </w:rPr>
        <w:lastRenderedPageBreak/>
        <w:t>לטענת הנתבע בנוסף ל</w:t>
      </w:r>
      <w:r w:rsidR="00580DE2">
        <w:rPr>
          <w:rFonts w:ascii="David" w:hAnsi="David" w:cs="David" w:hint="cs"/>
          <w:sz w:val="24"/>
          <w:szCs w:val="24"/>
          <w:rtl/>
        </w:rPr>
        <w:t>כך</w:t>
      </w:r>
      <w:r w:rsidRPr="00AB02B0">
        <w:rPr>
          <w:rFonts w:ascii="David" w:hAnsi="David" w:cs="David" w:hint="cs"/>
          <w:sz w:val="24"/>
          <w:szCs w:val="24"/>
          <w:rtl/>
        </w:rPr>
        <w:t xml:space="preserve"> שוהה הקטין עמו </w:t>
      </w:r>
      <w:r w:rsidR="00580DE2">
        <w:rPr>
          <w:rFonts w:ascii="David" w:hAnsi="David" w:cs="David" w:hint="cs"/>
          <w:sz w:val="24"/>
          <w:szCs w:val="24"/>
          <w:rtl/>
        </w:rPr>
        <w:t xml:space="preserve">גם </w:t>
      </w:r>
      <w:r w:rsidRPr="00AB02B0">
        <w:rPr>
          <w:rFonts w:ascii="David" w:hAnsi="David" w:cs="David" w:hint="cs"/>
          <w:sz w:val="24"/>
          <w:szCs w:val="24"/>
          <w:rtl/>
        </w:rPr>
        <w:t>מחצית מימי החופשה, המחלה והחגים,</w:t>
      </w:r>
      <w:r w:rsidR="00776C7F">
        <w:rPr>
          <w:rFonts w:ascii="David" w:hAnsi="David" w:cs="David" w:hint="cs"/>
          <w:sz w:val="24"/>
          <w:szCs w:val="24"/>
          <w:rtl/>
        </w:rPr>
        <w:t xml:space="preserve"> (כקבוע בהוראות ההסכם</w:t>
      </w:r>
      <w:r w:rsidR="00580DE2">
        <w:rPr>
          <w:rFonts w:ascii="David" w:hAnsi="David" w:cs="David" w:hint="cs"/>
          <w:sz w:val="24"/>
          <w:szCs w:val="24"/>
          <w:rtl/>
        </w:rPr>
        <w:t>)</w:t>
      </w:r>
      <w:r w:rsidRPr="00AB02B0">
        <w:rPr>
          <w:rFonts w:ascii="David" w:hAnsi="David" w:cs="David" w:hint="cs"/>
          <w:sz w:val="24"/>
          <w:szCs w:val="24"/>
          <w:rtl/>
        </w:rPr>
        <w:t xml:space="preserve"> והוא לוקח חלק משמעותי בחייו אף </w:t>
      </w:r>
      <w:r w:rsidR="00776C7F">
        <w:rPr>
          <w:rFonts w:ascii="David" w:hAnsi="David" w:cs="David" w:hint="cs"/>
          <w:sz w:val="24"/>
          <w:szCs w:val="24"/>
          <w:rtl/>
        </w:rPr>
        <w:t>מעבר למועדים הקבועים בהסכם</w:t>
      </w:r>
      <w:r w:rsidRPr="00AB02B0">
        <w:rPr>
          <w:rFonts w:ascii="David" w:hAnsi="David" w:cs="David" w:hint="cs"/>
          <w:sz w:val="24"/>
          <w:szCs w:val="24"/>
          <w:rtl/>
        </w:rPr>
        <w:t xml:space="preserve">. כך למשל, </w:t>
      </w:r>
      <w:r w:rsidR="00580DE2">
        <w:rPr>
          <w:rFonts w:ascii="David" w:hAnsi="David" w:cs="David" w:hint="cs"/>
          <w:sz w:val="24"/>
          <w:szCs w:val="24"/>
          <w:rtl/>
        </w:rPr>
        <w:t xml:space="preserve">לטענתו הוא </w:t>
      </w:r>
      <w:r w:rsidRPr="00AB02B0">
        <w:rPr>
          <w:rFonts w:ascii="David" w:hAnsi="David" w:cs="David" w:hint="cs"/>
          <w:sz w:val="24"/>
          <w:szCs w:val="24"/>
          <w:rtl/>
        </w:rPr>
        <w:t>אוסף את הקטין מבית הספר אם אינו חש בטוב, מלווה אותו לחוג וכו'</w:t>
      </w:r>
      <w:r w:rsidR="00580DE2">
        <w:rPr>
          <w:rFonts w:ascii="David" w:hAnsi="David" w:cs="David" w:hint="cs"/>
          <w:sz w:val="24"/>
          <w:szCs w:val="24"/>
          <w:rtl/>
        </w:rPr>
        <w:t xml:space="preserve"> ולעיתים אף נותר הקטין ללון עמו גם באמצע השבוע בימים שהסדרי השהות לא כוללים לינה</w:t>
      </w:r>
      <w:r w:rsidRPr="00AB02B0">
        <w:rPr>
          <w:rFonts w:ascii="David" w:hAnsi="David" w:cs="David" w:hint="cs"/>
          <w:sz w:val="24"/>
          <w:szCs w:val="24"/>
          <w:rtl/>
        </w:rPr>
        <w:t>.</w:t>
      </w:r>
      <w:r>
        <w:rPr>
          <w:rFonts w:ascii="David" w:hAnsi="David" w:cs="David" w:hint="cs"/>
          <w:sz w:val="24"/>
          <w:szCs w:val="24"/>
          <w:rtl/>
        </w:rPr>
        <w:t xml:space="preserve"> </w:t>
      </w:r>
      <w:r w:rsidRPr="00AB02B0">
        <w:rPr>
          <w:rFonts w:ascii="David" w:hAnsi="David" w:cs="David"/>
          <w:sz w:val="24"/>
          <w:szCs w:val="24"/>
          <w:rtl/>
        </w:rPr>
        <w:t xml:space="preserve">התובעת כפרה בטענת הנתבע לפיהן שוהה עמו הקטין </w:t>
      </w:r>
      <w:r>
        <w:rPr>
          <w:rFonts w:ascii="David" w:hAnsi="David" w:cs="David" w:hint="cs"/>
          <w:sz w:val="24"/>
          <w:szCs w:val="24"/>
          <w:rtl/>
        </w:rPr>
        <w:t>במועדים האמורים אך</w:t>
      </w:r>
      <w:r w:rsidRPr="00AB02B0">
        <w:rPr>
          <w:rFonts w:ascii="David" w:hAnsi="David" w:cs="David"/>
          <w:sz w:val="24"/>
          <w:szCs w:val="24"/>
          <w:rtl/>
        </w:rPr>
        <w:t xml:space="preserve"> נמנעה מלחקור אותו בסוגיה זו, והימנעות זו פועלת לחיזוק גרסת הנתבע. כידוע, </w:t>
      </w:r>
      <w:r w:rsidRPr="00AB02B0">
        <w:rPr>
          <w:rFonts w:ascii="David" w:hAnsi="David" w:cs="David"/>
          <w:sz w:val="24"/>
          <w:szCs w:val="24"/>
          <w:rtl/>
          <w:lang w:eastAsia="he-IL"/>
        </w:rPr>
        <w:t xml:space="preserve">בדרך כלל כאשר בעל דין נמנע מחקירה נגדית של עד </w:t>
      </w:r>
      <w:r w:rsidRPr="00AB02B0">
        <w:rPr>
          <w:rFonts w:ascii="David" w:hAnsi="David" w:cs="David"/>
          <w:sz w:val="24"/>
          <w:szCs w:val="24"/>
          <w:rtl/>
        </w:rPr>
        <w:t>בנושא מסוים חשוב העומד על הפרק,</w:t>
      </w:r>
      <w:r w:rsidRPr="00AB02B0">
        <w:rPr>
          <w:rFonts w:ascii="David" w:hAnsi="David" w:cs="David"/>
          <w:sz w:val="24"/>
          <w:szCs w:val="24"/>
          <w:rtl/>
          <w:lang w:eastAsia="he-IL"/>
        </w:rPr>
        <w:t xml:space="preserve"> מבלי שהציג הסבר סביר להימנעותו, ההנחה היא כי אינו חולק על דברי העד [ע"פ 9141/10 </w:t>
      </w:r>
      <w:r w:rsidRPr="00AB02B0">
        <w:rPr>
          <w:rFonts w:ascii="David" w:hAnsi="David" w:cs="David"/>
          <w:b/>
          <w:bCs/>
          <w:sz w:val="24"/>
          <w:szCs w:val="24"/>
          <w:rtl/>
          <w:lang w:eastAsia="he-IL"/>
        </w:rPr>
        <w:t>סטואר נ' מדינת ישראל</w:t>
      </w:r>
      <w:r w:rsidRPr="00AB02B0">
        <w:rPr>
          <w:rFonts w:ascii="David" w:hAnsi="David" w:cs="David"/>
          <w:sz w:val="24"/>
          <w:szCs w:val="24"/>
          <w:rtl/>
          <w:lang w:eastAsia="he-IL"/>
        </w:rPr>
        <w:t>, פורסם בנבו 28.4.14);</w:t>
      </w:r>
      <w:r w:rsidRPr="00AB02B0">
        <w:rPr>
          <w:rFonts w:ascii="David" w:hAnsi="David" w:cs="David"/>
          <w:sz w:val="24"/>
          <w:szCs w:val="24"/>
          <w:rtl/>
        </w:rPr>
        <w:t xml:space="preserve"> ת"א (חיפה) 4510/01 </w:t>
      </w:r>
      <w:r w:rsidRPr="00AB02B0">
        <w:rPr>
          <w:rFonts w:ascii="David" w:hAnsi="David" w:cs="David"/>
          <w:b/>
          <w:bCs/>
          <w:sz w:val="24"/>
          <w:szCs w:val="24"/>
          <w:rtl/>
        </w:rPr>
        <w:t>קופרמן נ' אר.אס.אס.די בע"מ</w:t>
      </w:r>
      <w:r w:rsidRPr="00AB02B0">
        <w:rPr>
          <w:rFonts w:ascii="David" w:hAnsi="David" w:cs="David"/>
          <w:sz w:val="24"/>
          <w:szCs w:val="24"/>
          <w:rtl/>
        </w:rPr>
        <w:t xml:space="preserve"> (פורסם בנבו, 3.8.14) פסקה 4 - השופט רניאל; ראו גם ת"א (ירושלים) 11721/01 </w:t>
      </w:r>
      <w:r w:rsidRPr="00AB02B0">
        <w:rPr>
          <w:rFonts w:ascii="David" w:hAnsi="David" w:cs="David"/>
          <w:b/>
          <w:bCs/>
          <w:sz w:val="24"/>
          <w:szCs w:val="24"/>
          <w:rtl/>
        </w:rPr>
        <w:t>עיריית ירושלים נ' שריון גרף (1982) בע"מ</w:t>
      </w:r>
      <w:r w:rsidRPr="00AB02B0">
        <w:rPr>
          <w:rFonts w:ascii="David" w:hAnsi="David" w:cs="David"/>
          <w:sz w:val="24"/>
          <w:szCs w:val="24"/>
          <w:rtl/>
        </w:rPr>
        <w:t xml:space="preserve"> (פורסם בנבו, 16.8.05) פסקה 7].</w:t>
      </w:r>
      <w:r w:rsidRPr="00AB02B0">
        <w:rPr>
          <w:rFonts w:ascii="David" w:hAnsi="David" w:cs="David" w:hint="cs"/>
          <w:sz w:val="24"/>
          <w:szCs w:val="24"/>
          <w:rtl/>
        </w:rPr>
        <w:t xml:space="preserve"> ואכן, בסיכומים כבר לא טענה התובעת שהקטין אינו שוהה עם הנתבע במועדים האמורים אלא טענה שהנתבע נעזר בה</w:t>
      </w:r>
      <w:r>
        <w:rPr>
          <w:rFonts w:ascii="David" w:hAnsi="David" w:cs="David" w:hint="cs"/>
          <w:sz w:val="24"/>
          <w:szCs w:val="24"/>
          <w:rtl/>
        </w:rPr>
        <w:t>וריו שעה שהוא עצמו עובד או מבלה.</w:t>
      </w:r>
    </w:p>
    <w:p w:rsidR="008C3E5E" w:rsidRDefault="008C3E5E" w:rsidP="008B7DA0">
      <w:pPr>
        <w:pStyle w:val="ad"/>
        <w:spacing w:after="0" w:line="360" w:lineRule="auto"/>
        <w:jc w:val="both"/>
        <w:rPr>
          <w:rFonts w:ascii="David" w:hAnsi="David" w:cs="David"/>
          <w:sz w:val="24"/>
          <w:szCs w:val="24"/>
          <w:rtl/>
        </w:rPr>
      </w:pPr>
      <w:r>
        <w:rPr>
          <w:rFonts w:ascii="David" w:hAnsi="David" w:cs="David" w:hint="cs"/>
          <w:sz w:val="24"/>
          <w:szCs w:val="24"/>
          <w:rtl/>
        </w:rPr>
        <w:t>הנה כי כן, הקטין שוהה עם הנתבע פעמיים באמצע השבוע, כאשר פעם אחת כוללת לינה, ובכל סוף שבוע שני. כן שוהה הקטין עם הנתבע מחצית מימי המחלה, החופשה והחגים והנתבע מבלה עמו אף במועדים נוספים על אלה הקבועים.</w:t>
      </w:r>
    </w:p>
    <w:p w:rsidR="008C3E5E" w:rsidRPr="00AB02B0" w:rsidRDefault="008C3E5E" w:rsidP="008B7DA0">
      <w:pPr>
        <w:pStyle w:val="ad"/>
        <w:spacing w:after="0" w:line="360" w:lineRule="auto"/>
        <w:jc w:val="both"/>
        <w:rPr>
          <w:rFonts w:ascii="David" w:hAnsi="David" w:cs="David"/>
          <w:sz w:val="24"/>
          <w:szCs w:val="24"/>
        </w:rPr>
      </w:pPr>
    </w:p>
    <w:p w:rsidR="008C3E5E" w:rsidRDefault="008C3E5E" w:rsidP="008B7DA0">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כפי שעולה מהתסקיר ומתשובותיה של העו"ס חלוקת זמני השהות כפי שהיא מתקיימת כיום מטיבה מאוד עם הקטין ומאפשרת </w:t>
      </w:r>
      <w:r w:rsidR="00580DE2">
        <w:rPr>
          <w:rFonts w:ascii="David" w:hAnsi="David" w:cs="David" w:hint="cs"/>
          <w:sz w:val="24"/>
          <w:szCs w:val="24"/>
          <w:rtl/>
        </w:rPr>
        <w:t xml:space="preserve">לו </w:t>
      </w:r>
      <w:r>
        <w:rPr>
          <w:rFonts w:ascii="David" w:hAnsi="David" w:cs="David" w:hint="cs"/>
          <w:sz w:val="24"/>
          <w:szCs w:val="24"/>
          <w:rtl/>
        </w:rPr>
        <w:t>קשר משמעותי ואיכותי עם שני הוריו, ועם בני משפחתם המורחבת (עמה הם מתגוררים). שני ההורים מעורבים מאוד בגידולו ובחינוכו של הקטין והוא חווה אותם ככאלה ונהנה מהסדר זה.</w:t>
      </w:r>
    </w:p>
    <w:p w:rsidR="008C3E5E" w:rsidRPr="00695341" w:rsidRDefault="008C3E5E" w:rsidP="008B7DA0">
      <w:pPr>
        <w:pStyle w:val="ad"/>
        <w:spacing w:after="0" w:line="360" w:lineRule="auto"/>
        <w:rPr>
          <w:rFonts w:ascii="David" w:hAnsi="David" w:cs="David"/>
          <w:sz w:val="24"/>
          <w:szCs w:val="24"/>
          <w:rtl/>
        </w:rPr>
      </w:pPr>
    </w:p>
    <w:p w:rsidR="003C271B" w:rsidRDefault="008C3E5E" w:rsidP="00B45811">
      <w:pPr>
        <w:pStyle w:val="ad"/>
        <w:numPr>
          <w:ilvl w:val="0"/>
          <w:numId w:val="1"/>
        </w:numPr>
        <w:spacing w:after="0" w:line="360" w:lineRule="auto"/>
        <w:jc w:val="both"/>
        <w:rPr>
          <w:rFonts w:ascii="David" w:hAnsi="David" w:cs="David"/>
          <w:sz w:val="24"/>
          <w:szCs w:val="24"/>
        </w:rPr>
      </w:pPr>
      <w:r w:rsidRPr="00A63D7A">
        <w:rPr>
          <w:rFonts w:ascii="David" w:hAnsi="David" w:cs="David" w:hint="cs"/>
          <w:sz w:val="24"/>
          <w:szCs w:val="24"/>
          <w:rtl/>
        </w:rPr>
        <w:t>הצדדים לא הציגו אסמכתאות למרחק הגיאוגר</w:t>
      </w:r>
      <w:r>
        <w:rPr>
          <w:rFonts w:ascii="David" w:hAnsi="David" w:cs="David" w:hint="cs"/>
          <w:sz w:val="24"/>
          <w:szCs w:val="24"/>
          <w:rtl/>
        </w:rPr>
        <w:t xml:space="preserve">פי בין העיר ירושלים (וביתר דיוק </w:t>
      </w:r>
      <w:r w:rsidRPr="00A63D7A">
        <w:rPr>
          <w:rFonts w:ascii="David" w:hAnsi="David" w:cs="David" w:hint="cs"/>
          <w:sz w:val="24"/>
          <w:szCs w:val="24"/>
          <w:rtl/>
        </w:rPr>
        <w:t xml:space="preserve">בין שכונת </w:t>
      </w:r>
      <w:r w:rsidR="00B45811">
        <w:rPr>
          <w:rFonts w:ascii="David" w:hAnsi="David" w:cs="David" w:hint="cs"/>
          <w:sz w:val="24"/>
          <w:szCs w:val="24"/>
        </w:rPr>
        <w:t>XXX</w:t>
      </w:r>
      <w:r w:rsidRPr="00A63D7A">
        <w:rPr>
          <w:rFonts w:ascii="David" w:hAnsi="David" w:cs="David" w:hint="cs"/>
          <w:sz w:val="24"/>
          <w:szCs w:val="24"/>
          <w:rtl/>
        </w:rPr>
        <w:t xml:space="preserve"> מקום מגוריהם כיום) לבין העיר ראשון לציון ובדיון </w:t>
      </w:r>
      <w:r>
        <w:rPr>
          <w:rFonts w:ascii="David" w:hAnsi="David" w:cs="David" w:hint="cs"/>
          <w:sz w:val="24"/>
          <w:szCs w:val="24"/>
          <w:rtl/>
        </w:rPr>
        <w:t>טענ</w:t>
      </w:r>
      <w:r w:rsidRPr="00A63D7A">
        <w:rPr>
          <w:rFonts w:ascii="David" w:hAnsi="David" w:cs="David" w:hint="cs"/>
          <w:sz w:val="24"/>
          <w:szCs w:val="24"/>
          <w:rtl/>
        </w:rPr>
        <w:t xml:space="preserve">ו </w:t>
      </w:r>
      <w:r>
        <w:rPr>
          <w:rFonts w:ascii="David" w:hAnsi="David" w:cs="David" w:hint="cs"/>
          <w:sz w:val="24"/>
          <w:szCs w:val="24"/>
          <w:rtl/>
        </w:rPr>
        <w:t xml:space="preserve">שמשך הנסיעה עומד </w:t>
      </w:r>
      <w:r w:rsidR="00580DE2">
        <w:rPr>
          <w:rFonts w:ascii="David" w:hAnsi="David" w:cs="David" w:hint="cs"/>
          <w:sz w:val="24"/>
          <w:szCs w:val="24"/>
          <w:rtl/>
        </w:rPr>
        <w:t xml:space="preserve">לכל הפחות </w:t>
      </w:r>
      <w:r>
        <w:rPr>
          <w:rFonts w:ascii="David" w:hAnsi="David" w:cs="David" w:hint="cs"/>
          <w:sz w:val="24"/>
          <w:szCs w:val="24"/>
          <w:rtl/>
        </w:rPr>
        <w:t xml:space="preserve">על 45-50 דקות </w:t>
      </w:r>
      <w:r w:rsidRPr="00A63D7A">
        <w:rPr>
          <w:rFonts w:ascii="David" w:hAnsi="David" w:cs="David" w:hint="cs"/>
          <w:sz w:val="24"/>
          <w:szCs w:val="24"/>
          <w:rtl/>
        </w:rPr>
        <w:t xml:space="preserve"> </w:t>
      </w:r>
      <w:r>
        <w:rPr>
          <w:rFonts w:ascii="David" w:hAnsi="David" w:cs="David" w:hint="cs"/>
          <w:sz w:val="24"/>
          <w:szCs w:val="24"/>
          <w:rtl/>
        </w:rPr>
        <w:t>(</w:t>
      </w:r>
      <w:r w:rsidR="00580DE2">
        <w:rPr>
          <w:rFonts w:ascii="David" w:hAnsi="David" w:cs="David" w:hint="cs"/>
          <w:sz w:val="24"/>
          <w:szCs w:val="24"/>
          <w:rtl/>
        </w:rPr>
        <w:t xml:space="preserve">כפי שטענה </w:t>
      </w:r>
      <w:r>
        <w:rPr>
          <w:rFonts w:ascii="David" w:hAnsi="David" w:cs="David" w:hint="cs"/>
          <w:sz w:val="24"/>
          <w:szCs w:val="24"/>
          <w:rtl/>
        </w:rPr>
        <w:t xml:space="preserve">התובעת) </w:t>
      </w:r>
      <w:r w:rsidR="00580DE2">
        <w:rPr>
          <w:rFonts w:ascii="David" w:hAnsi="David" w:cs="David" w:hint="cs"/>
          <w:sz w:val="24"/>
          <w:szCs w:val="24"/>
          <w:rtl/>
        </w:rPr>
        <w:t>או</w:t>
      </w:r>
      <w:r>
        <w:rPr>
          <w:rFonts w:ascii="David" w:hAnsi="David" w:cs="David" w:hint="cs"/>
          <w:sz w:val="24"/>
          <w:szCs w:val="24"/>
          <w:rtl/>
        </w:rPr>
        <w:t xml:space="preserve"> שעה (</w:t>
      </w:r>
      <w:r w:rsidR="00580DE2">
        <w:rPr>
          <w:rFonts w:ascii="David" w:hAnsi="David" w:cs="David" w:hint="cs"/>
          <w:sz w:val="24"/>
          <w:szCs w:val="24"/>
          <w:rtl/>
        </w:rPr>
        <w:t xml:space="preserve">כפי שטען </w:t>
      </w:r>
      <w:r>
        <w:rPr>
          <w:rFonts w:ascii="David" w:hAnsi="David" w:cs="David" w:hint="cs"/>
          <w:sz w:val="24"/>
          <w:szCs w:val="24"/>
          <w:rtl/>
        </w:rPr>
        <w:t xml:space="preserve">הנתבע). </w:t>
      </w:r>
      <w:r w:rsidRPr="00A63D7A">
        <w:rPr>
          <w:rFonts w:ascii="David" w:hAnsi="David" w:cs="David" w:hint="cs"/>
          <w:sz w:val="24"/>
          <w:szCs w:val="24"/>
          <w:rtl/>
        </w:rPr>
        <w:t xml:space="preserve">בשים לב למרחק הגיאוגרפי ולמשך הנסיעה </w:t>
      </w:r>
      <w:r>
        <w:rPr>
          <w:rFonts w:ascii="David" w:hAnsi="David" w:cs="David" w:hint="cs"/>
          <w:sz w:val="24"/>
          <w:szCs w:val="24"/>
          <w:rtl/>
        </w:rPr>
        <w:t xml:space="preserve">(גם </w:t>
      </w:r>
      <w:r w:rsidR="00580DE2">
        <w:rPr>
          <w:rFonts w:ascii="David" w:hAnsi="David" w:cs="David" w:hint="cs"/>
          <w:sz w:val="24"/>
          <w:szCs w:val="24"/>
          <w:rtl/>
        </w:rPr>
        <w:t xml:space="preserve">אם </w:t>
      </w:r>
      <w:r>
        <w:rPr>
          <w:rFonts w:ascii="David" w:hAnsi="David" w:cs="David" w:hint="cs"/>
          <w:sz w:val="24"/>
          <w:szCs w:val="24"/>
          <w:rtl/>
        </w:rPr>
        <w:t xml:space="preserve">הוא עומד "רק" על 50 דקות כטענת התובעת) </w:t>
      </w:r>
      <w:r w:rsidRPr="00A63D7A">
        <w:rPr>
          <w:rFonts w:ascii="David" w:hAnsi="David" w:cs="David" w:hint="cs"/>
          <w:sz w:val="24"/>
          <w:szCs w:val="24"/>
          <w:rtl/>
        </w:rPr>
        <w:t xml:space="preserve">בצדק ראתה בכך העו"ס מכשול שימנע את שימור חלוקת זמני השהות של הקטין עם הנתבע כפי המתקיים כיום. </w:t>
      </w:r>
      <w:r w:rsidR="00580DE2">
        <w:rPr>
          <w:rFonts w:ascii="David" w:hAnsi="David" w:cs="David" w:hint="cs"/>
          <w:sz w:val="24"/>
          <w:szCs w:val="24"/>
          <w:rtl/>
        </w:rPr>
        <w:t xml:space="preserve">ודוק. </w:t>
      </w:r>
      <w:r w:rsidRPr="00A63D7A">
        <w:rPr>
          <w:rFonts w:ascii="David" w:hAnsi="David" w:cs="David" w:hint="cs"/>
          <w:sz w:val="24"/>
          <w:szCs w:val="24"/>
          <w:rtl/>
        </w:rPr>
        <w:t>על אף המחלוקת בין הצדדים בשאלת משך הנסיעה דומה ששני הצדדים הסכימו שלא ניתן יהא לשמר את חלוקת זמני השהות הקיימת כיום (למצער לא בימים בהם שוהה הקטין עם הנתבע אחר הצהריים ללא לינה) והפתרון שהציעה התובעת</w:t>
      </w:r>
      <w:r w:rsidR="00580DE2">
        <w:rPr>
          <w:rFonts w:ascii="David" w:hAnsi="David" w:cs="David" w:hint="cs"/>
          <w:sz w:val="24"/>
          <w:szCs w:val="24"/>
          <w:rtl/>
        </w:rPr>
        <w:t xml:space="preserve"> כבר בכתב התביעה</w:t>
      </w:r>
      <w:r w:rsidRPr="00A63D7A">
        <w:rPr>
          <w:rFonts w:ascii="David" w:hAnsi="David" w:cs="David" w:hint="cs"/>
          <w:sz w:val="24"/>
          <w:szCs w:val="24"/>
          <w:rtl/>
        </w:rPr>
        <w:t xml:space="preserve"> הוא שבימים אלו יגיע הנתבע לשהות עם הקטין בעיר ראשון לציון</w:t>
      </w:r>
      <w:r>
        <w:rPr>
          <w:rFonts w:ascii="David" w:hAnsi="David" w:cs="David" w:hint="cs"/>
          <w:sz w:val="24"/>
          <w:szCs w:val="24"/>
          <w:rtl/>
        </w:rPr>
        <w:t xml:space="preserve"> או בעיר מודיעין</w:t>
      </w:r>
      <w:r w:rsidRPr="00A63D7A">
        <w:rPr>
          <w:rFonts w:ascii="David" w:hAnsi="David" w:cs="David" w:hint="cs"/>
          <w:sz w:val="24"/>
          <w:szCs w:val="24"/>
          <w:rtl/>
        </w:rPr>
        <w:t xml:space="preserve">. </w:t>
      </w:r>
      <w:r w:rsidR="00580DE2">
        <w:rPr>
          <w:rFonts w:ascii="David" w:hAnsi="David" w:cs="David" w:hint="cs"/>
          <w:sz w:val="24"/>
          <w:szCs w:val="24"/>
          <w:rtl/>
        </w:rPr>
        <w:t xml:space="preserve">הנתבע דחה הצעה זו </w:t>
      </w:r>
      <w:r w:rsidRPr="00A63D7A">
        <w:rPr>
          <w:rFonts w:ascii="David" w:hAnsi="David" w:cs="David" w:hint="cs"/>
          <w:sz w:val="24"/>
          <w:szCs w:val="24"/>
          <w:rtl/>
        </w:rPr>
        <w:t>וסירב לפתרון שיחייבו לשהות עם הקטין אך בפארקים ובמקומות ציבוריים.</w:t>
      </w:r>
      <w:r>
        <w:rPr>
          <w:rFonts w:ascii="David" w:hAnsi="David" w:cs="David" w:hint="cs"/>
          <w:sz w:val="24"/>
          <w:szCs w:val="24"/>
          <w:rtl/>
        </w:rPr>
        <w:t xml:space="preserve"> </w:t>
      </w:r>
      <w:r w:rsidRPr="00A63D7A">
        <w:rPr>
          <w:rFonts w:ascii="David" w:hAnsi="David" w:cs="David" w:hint="cs"/>
          <w:sz w:val="24"/>
          <w:szCs w:val="24"/>
          <w:rtl/>
        </w:rPr>
        <w:t>קבלת התביעה עלולה להביא אפוא לצמצום תדירות ומשך זמני השהות של הקטין עם הנתבע ועקב כך תפגע טובתו של הקטין.</w:t>
      </w:r>
      <w:r>
        <w:rPr>
          <w:rFonts w:ascii="David" w:hAnsi="David" w:cs="David" w:hint="cs"/>
          <w:sz w:val="24"/>
          <w:szCs w:val="24"/>
          <w:rtl/>
        </w:rPr>
        <w:t xml:space="preserve"> </w:t>
      </w:r>
    </w:p>
    <w:p w:rsidR="003C271B" w:rsidRPr="003C271B" w:rsidRDefault="003C271B" w:rsidP="008B7DA0">
      <w:pPr>
        <w:pStyle w:val="ad"/>
        <w:spacing w:after="0" w:line="360" w:lineRule="auto"/>
        <w:rPr>
          <w:rFonts w:ascii="David" w:hAnsi="David" w:cs="David"/>
          <w:sz w:val="24"/>
          <w:szCs w:val="24"/>
          <w:rtl/>
        </w:rPr>
      </w:pPr>
    </w:p>
    <w:p w:rsidR="008C3E5E" w:rsidRDefault="008C3E5E" w:rsidP="008B7DA0">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lastRenderedPageBreak/>
        <w:t xml:space="preserve">מתן היתר להעתקת מקום מגורי הקטין תחייב את צמצום זמני השהות בין הקטין לנתבע באמצע השבוע, ובכך תפגע טובת הקטין. לא ניתן להפיג חשש זה על ידי השתת נטל הסעת הקטין באמצע השבוע על התובעת. </w:t>
      </w:r>
      <w:r>
        <w:rPr>
          <w:rFonts w:ascii="David" w:hAnsi="David" w:cs="David"/>
          <w:sz w:val="24"/>
          <w:szCs w:val="24"/>
          <w:rtl/>
        </w:rPr>
        <w:t xml:space="preserve">מקובלת עלי טענת האב כי יצירת תלות קבועה של האב באם בעניין כה משמעותי לטובת </w:t>
      </w:r>
      <w:r>
        <w:rPr>
          <w:rFonts w:ascii="David" w:hAnsi="David" w:cs="David" w:hint="cs"/>
          <w:sz w:val="24"/>
          <w:szCs w:val="24"/>
          <w:rtl/>
        </w:rPr>
        <w:t>הקטין</w:t>
      </w:r>
      <w:r>
        <w:rPr>
          <w:rFonts w:ascii="David" w:hAnsi="David" w:cs="David"/>
          <w:sz w:val="24"/>
          <w:szCs w:val="24"/>
          <w:rtl/>
        </w:rPr>
        <w:t xml:space="preserve"> של קיום זמני השהות עם האב אינה מצב נכון</w:t>
      </w:r>
      <w:r>
        <w:rPr>
          <w:rFonts w:ascii="David" w:hAnsi="David" w:cs="David" w:hint="cs"/>
          <w:sz w:val="24"/>
          <w:szCs w:val="24"/>
          <w:rtl/>
        </w:rPr>
        <w:t>. על כך יש להוסיף שספק אם מעמסה כזו גדולה על התובעת באמצע השבוע תהיה ישימה. יש לזכור שהתובעת עובדת לפרנסתה כקוסמטיקאית בביתה ולדבריה היא מעוניינת להמשיך לעשות כן גם אם תעבור ל</w:t>
      </w:r>
      <w:r w:rsidR="003C271B">
        <w:rPr>
          <w:rFonts w:ascii="David" w:hAnsi="David" w:cs="David" w:hint="cs"/>
          <w:sz w:val="24"/>
          <w:szCs w:val="24"/>
          <w:rtl/>
        </w:rPr>
        <w:t xml:space="preserve">עיר </w:t>
      </w:r>
      <w:r>
        <w:rPr>
          <w:rFonts w:ascii="David" w:hAnsi="David" w:cs="David" w:hint="cs"/>
          <w:sz w:val="24"/>
          <w:szCs w:val="24"/>
          <w:rtl/>
        </w:rPr>
        <w:t xml:space="preserve">ראשון לציון. לתובעת אין רשת תמיכה משפחתית בעיר ראשון לציון כפי שיש לה בעיר ירושלים (עת מתגוררת היא עם אמה) ונקל לסבור שהמעמסה בהסעת הקטין הלוך ושוב מראשון לציון לירושלים </w:t>
      </w:r>
      <w:r w:rsidR="007E5E60">
        <w:rPr>
          <w:rFonts w:ascii="David" w:hAnsi="David" w:cs="David" w:hint="cs"/>
          <w:sz w:val="24"/>
          <w:szCs w:val="24"/>
          <w:rtl/>
        </w:rPr>
        <w:t xml:space="preserve">פעמיים בשבוע </w:t>
      </w:r>
      <w:r>
        <w:rPr>
          <w:rFonts w:ascii="David" w:hAnsi="David" w:cs="David" w:hint="cs"/>
          <w:sz w:val="24"/>
          <w:szCs w:val="24"/>
          <w:rtl/>
        </w:rPr>
        <w:t>יהיו כרוכים בסבל וטרחה כה גדולים שעלולים לגרום לתובעת לנסות ולהתנער מהם.</w:t>
      </w:r>
    </w:p>
    <w:p w:rsidR="008C3E5E" w:rsidRPr="00170EDB" w:rsidRDefault="008C3E5E" w:rsidP="008B7DA0">
      <w:pPr>
        <w:pStyle w:val="ad"/>
        <w:spacing w:after="0" w:line="360" w:lineRule="auto"/>
        <w:rPr>
          <w:rFonts w:ascii="David" w:hAnsi="David" w:cs="David"/>
          <w:sz w:val="24"/>
          <w:szCs w:val="24"/>
          <w:rtl/>
        </w:rPr>
      </w:pPr>
    </w:p>
    <w:p w:rsidR="008C3E5E" w:rsidRDefault="008C3E5E" w:rsidP="008B7DA0">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גם אם ניתן היה למצוא פתרון של חלוקת נטל הנסיעות בין הצדדים, הרי שלא ניתן למצוא פתרון לעומס הבלתי סביר על הקטין עצמו שיאלץ להשכים קום ולנסוע מירושלים לראשון לציון לפני תחילת יום לימודים</w:t>
      </w:r>
      <w:r w:rsidR="003C271B">
        <w:rPr>
          <w:rFonts w:ascii="David" w:hAnsi="David" w:cs="David" w:hint="cs"/>
          <w:sz w:val="24"/>
          <w:szCs w:val="24"/>
          <w:rtl/>
        </w:rPr>
        <w:t xml:space="preserve"> (בימים בהם ילון אצל הנתבע)</w:t>
      </w:r>
      <w:r>
        <w:rPr>
          <w:rFonts w:ascii="David" w:hAnsi="David" w:cs="David" w:hint="cs"/>
          <w:sz w:val="24"/>
          <w:szCs w:val="24"/>
          <w:rtl/>
        </w:rPr>
        <w:t>, ולצורך קיום זמני שהות באמצע שבוע (שאינם כוללים לינה) יאלץ לנסוע מראשון לציון לירושלים לשהות כמה שעות בירושלים ולשוב מירושלים לראשון לציון</w:t>
      </w:r>
      <w:r w:rsidR="007E5E60">
        <w:rPr>
          <w:rFonts w:ascii="David" w:hAnsi="David" w:cs="David" w:hint="cs"/>
          <w:sz w:val="24"/>
          <w:szCs w:val="24"/>
          <w:rtl/>
        </w:rPr>
        <w:t xml:space="preserve"> ודוק. המדובר בעשר נסיעות במחזוריות של שבועיים</w:t>
      </w:r>
      <w:r>
        <w:rPr>
          <w:rFonts w:ascii="David" w:hAnsi="David" w:cs="David" w:hint="cs"/>
          <w:sz w:val="24"/>
          <w:szCs w:val="24"/>
          <w:rtl/>
        </w:rPr>
        <w:t>. על האמור יש להוסיף שהנ</w:t>
      </w:r>
      <w:r>
        <w:rPr>
          <w:rFonts w:ascii="David" w:hAnsi="David" w:cs="David"/>
          <w:sz w:val="24"/>
          <w:szCs w:val="24"/>
          <w:rtl/>
        </w:rPr>
        <w:t>סיעות ינגסו בזמן השהיה של הקטי</w:t>
      </w:r>
      <w:r w:rsidR="003C271B">
        <w:rPr>
          <w:rFonts w:ascii="David" w:hAnsi="David" w:cs="David" w:hint="cs"/>
          <w:sz w:val="24"/>
          <w:szCs w:val="24"/>
          <w:rtl/>
        </w:rPr>
        <w:t>ן</w:t>
      </w:r>
      <w:r>
        <w:rPr>
          <w:rFonts w:ascii="David" w:hAnsi="David" w:cs="David"/>
          <w:sz w:val="24"/>
          <w:szCs w:val="24"/>
          <w:rtl/>
        </w:rPr>
        <w:t xml:space="preserve"> עם האב, ועובדה זו מהווה שיקול נוסף שלא לקבל את עתירת האם גם לא תוך קביעת מנגנון של השתת נטל ההיסעים על האם.</w:t>
      </w:r>
      <w:r w:rsidR="007E5E60">
        <w:rPr>
          <w:rFonts w:ascii="David" w:hAnsi="David" w:cs="David" w:hint="cs"/>
          <w:sz w:val="24"/>
          <w:szCs w:val="24"/>
          <w:rtl/>
        </w:rPr>
        <w:t xml:space="preserve"> אף אינני רואה אפשרות מעשית לקבוע הסדרים לפיהם בכל סוף שבוע שני יפסיד הקטין </w:t>
      </w:r>
      <w:r w:rsidR="007E5E60">
        <w:rPr>
          <w:rFonts w:ascii="David" w:hAnsi="David" w:cs="David"/>
          <w:sz w:val="24"/>
          <w:szCs w:val="24"/>
          <w:rtl/>
        </w:rPr>
        <w:t>–</w:t>
      </w:r>
      <w:r w:rsidR="007E5E60">
        <w:rPr>
          <w:rFonts w:ascii="David" w:hAnsi="David" w:cs="David" w:hint="cs"/>
          <w:sz w:val="24"/>
          <w:szCs w:val="24"/>
          <w:rtl/>
        </w:rPr>
        <w:t xml:space="preserve"> שכבר לומד בכיתה א' </w:t>
      </w:r>
      <w:r w:rsidR="00F37BA8">
        <w:rPr>
          <w:rFonts w:ascii="David" w:hAnsi="David" w:cs="David"/>
          <w:sz w:val="24"/>
          <w:szCs w:val="24"/>
          <w:rtl/>
        </w:rPr>
        <w:t>–</w:t>
      </w:r>
      <w:r w:rsidR="007E5E60">
        <w:rPr>
          <w:rFonts w:ascii="David" w:hAnsi="David" w:cs="David" w:hint="cs"/>
          <w:sz w:val="24"/>
          <w:szCs w:val="24"/>
          <w:rtl/>
        </w:rPr>
        <w:t xml:space="preserve"> לימודים</w:t>
      </w:r>
      <w:r w:rsidR="00F37BA8">
        <w:rPr>
          <w:rFonts w:ascii="David" w:hAnsi="David" w:cs="David" w:hint="cs"/>
          <w:sz w:val="24"/>
          <w:szCs w:val="24"/>
          <w:rtl/>
        </w:rPr>
        <w:t xml:space="preserve"> בימי שישי.</w:t>
      </w:r>
    </w:p>
    <w:p w:rsidR="007E5E60" w:rsidRPr="00F37BA8" w:rsidRDefault="007E5E60" w:rsidP="008B7DA0">
      <w:pPr>
        <w:pStyle w:val="ad"/>
        <w:spacing w:after="0" w:line="360" w:lineRule="auto"/>
        <w:rPr>
          <w:rFonts w:ascii="David" w:hAnsi="David" w:cs="David"/>
          <w:sz w:val="24"/>
          <w:szCs w:val="24"/>
          <w:rtl/>
        </w:rPr>
      </w:pPr>
    </w:p>
    <w:p w:rsidR="003C271B" w:rsidRDefault="003C271B" w:rsidP="008B7DA0">
      <w:pPr>
        <w:pStyle w:val="ad"/>
        <w:numPr>
          <w:ilvl w:val="0"/>
          <w:numId w:val="1"/>
        </w:numPr>
        <w:spacing w:after="0" w:line="360" w:lineRule="auto"/>
        <w:jc w:val="both"/>
        <w:rPr>
          <w:rFonts w:ascii="David" w:hAnsi="David" w:cs="David"/>
          <w:sz w:val="24"/>
          <w:szCs w:val="24"/>
        </w:rPr>
      </w:pPr>
      <w:r w:rsidRPr="003C271B">
        <w:rPr>
          <w:rFonts w:ascii="David" w:hAnsi="David" w:cs="David" w:hint="cs"/>
          <w:sz w:val="24"/>
          <w:szCs w:val="24"/>
          <w:rtl/>
        </w:rPr>
        <w:t xml:space="preserve">הנה כי כן, </w:t>
      </w:r>
      <w:r w:rsidR="008C3E5E" w:rsidRPr="003C271B">
        <w:rPr>
          <w:rFonts w:ascii="David" w:hAnsi="David" w:cs="David" w:hint="cs"/>
          <w:sz w:val="24"/>
          <w:szCs w:val="24"/>
          <w:rtl/>
        </w:rPr>
        <w:t>העתקת מקום המגורים לראשון לציון תחייב למעשה את צמצום זמני השהות של הקטין ביחס להסדרים שנקבעו בהסכם והנהוגים כיום וירחיקו את הקטין מהנתבע באופן העלול לפגוע בהורתו. מתן היתר למעבר עלול להפוך את הנתבע מאב המעורב ברמה היומיומית לאב שזמני השהות עמו מצומצמי</w:t>
      </w:r>
      <w:r w:rsidR="008C3E5E" w:rsidRPr="003C271B">
        <w:rPr>
          <w:rFonts w:ascii="David" w:hAnsi="David" w:cs="David" w:hint="eastAsia"/>
          <w:sz w:val="24"/>
          <w:szCs w:val="24"/>
          <w:rtl/>
        </w:rPr>
        <w:t>ם</w:t>
      </w:r>
      <w:r w:rsidR="008C3E5E" w:rsidRPr="003C271B">
        <w:rPr>
          <w:rFonts w:ascii="David" w:hAnsi="David" w:cs="David" w:hint="cs"/>
          <w:sz w:val="24"/>
          <w:szCs w:val="24"/>
          <w:rtl/>
        </w:rPr>
        <w:t xml:space="preserve"> יותר, המתגורר בעיר אחרת ושיתקשה להיות מעורב במסגרות החינוך, באירועים חברתיים ובחיי היום יום של בנו</w:t>
      </w:r>
      <w:r w:rsidR="001E6690">
        <w:rPr>
          <w:rFonts w:ascii="David" w:hAnsi="David" w:cs="David" w:hint="cs"/>
          <w:sz w:val="24"/>
          <w:szCs w:val="24"/>
          <w:rtl/>
        </w:rPr>
        <w:t>, כפי שמתקיים כיום</w:t>
      </w:r>
      <w:r w:rsidR="008C3E5E" w:rsidRPr="003C271B">
        <w:rPr>
          <w:rFonts w:ascii="David" w:hAnsi="David" w:cs="David" w:hint="cs"/>
          <w:sz w:val="24"/>
          <w:szCs w:val="24"/>
          <w:rtl/>
        </w:rPr>
        <w:t>. כך לדוגמא כיום מוציא הנתבע את הקטין מהמסגרת אם אינו חש בטוב. אם יותר המעבר ואם הקטין לא ירגיש טוב בבית הספר התובעת היא שתהא אחראית להוציא</w:t>
      </w:r>
      <w:r w:rsidRPr="003C271B">
        <w:rPr>
          <w:rFonts w:ascii="David" w:hAnsi="David" w:cs="David" w:hint="cs"/>
          <w:sz w:val="24"/>
          <w:szCs w:val="24"/>
          <w:rtl/>
        </w:rPr>
        <w:t>ו</w:t>
      </w:r>
      <w:r w:rsidR="008C3E5E" w:rsidRPr="003C271B">
        <w:rPr>
          <w:rFonts w:ascii="David" w:hAnsi="David" w:cs="David" w:hint="cs"/>
          <w:sz w:val="24"/>
          <w:szCs w:val="24"/>
          <w:rtl/>
        </w:rPr>
        <w:t xml:space="preserve"> מהמסגרת לביתה וככל הנראה היא שתישאר עמו עד שירגיש טוב מספיק כדי לנסוע לאביו. </w:t>
      </w:r>
      <w:r w:rsidR="001E6690">
        <w:rPr>
          <w:rFonts w:ascii="David" w:hAnsi="David" w:cs="David" w:hint="cs"/>
          <w:sz w:val="24"/>
          <w:szCs w:val="24"/>
          <w:rtl/>
        </w:rPr>
        <w:t xml:space="preserve">כך מעורב הנתבע בבית הספר בו לומד הקטין. </w:t>
      </w:r>
      <w:r w:rsidR="008C3E5E" w:rsidRPr="003C271B">
        <w:rPr>
          <w:rFonts w:ascii="David" w:hAnsi="David" w:cs="David" w:hint="cs"/>
          <w:sz w:val="24"/>
          <w:szCs w:val="24"/>
          <w:rtl/>
        </w:rPr>
        <w:t xml:space="preserve">הקטין יזכה לאב מעורב פחות וטובתו תפגע בשל כך. </w:t>
      </w:r>
    </w:p>
    <w:p w:rsidR="008C3E5E" w:rsidRPr="003C271B" w:rsidRDefault="008C3E5E" w:rsidP="008B7DA0">
      <w:pPr>
        <w:pStyle w:val="ad"/>
        <w:spacing w:after="0" w:line="360" w:lineRule="auto"/>
        <w:jc w:val="both"/>
        <w:rPr>
          <w:rFonts w:ascii="David" w:hAnsi="David" w:cs="David"/>
          <w:sz w:val="24"/>
          <w:szCs w:val="24"/>
          <w:rtl/>
        </w:rPr>
      </w:pPr>
      <w:r w:rsidRPr="003C271B">
        <w:rPr>
          <w:rFonts w:ascii="David" w:hAnsi="David" w:cs="David" w:hint="cs"/>
          <w:sz w:val="24"/>
          <w:szCs w:val="24"/>
          <w:rtl/>
        </w:rPr>
        <w:t>יפים לעניין זה דבריו של כבוד השופט ארז שני:</w:t>
      </w:r>
      <w:r w:rsidR="003C271B">
        <w:rPr>
          <w:rFonts w:ascii="David" w:hAnsi="David" w:cs="David" w:hint="cs"/>
          <w:sz w:val="24"/>
          <w:szCs w:val="24"/>
          <w:rtl/>
        </w:rPr>
        <w:t xml:space="preserve"> </w:t>
      </w:r>
      <w:r w:rsidRPr="003C271B">
        <w:rPr>
          <w:rFonts w:ascii="David" w:hAnsi="David" w:cs="David" w:hint="cs"/>
          <w:sz w:val="24"/>
          <w:szCs w:val="24"/>
          <w:rtl/>
        </w:rPr>
        <w:t xml:space="preserve"> </w:t>
      </w:r>
      <w:r w:rsidRPr="003C271B">
        <w:rPr>
          <w:rFonts w:ascii="Miriam" w:hAnsi="Miriam" w:cs="Miriam"/>
          <w:b/>
          <w:bCs/>
          <w:sz w:val="24"/>
          <w:szCs w:val="24"/>
          <w:rtl/>
        </w:rPr>
        <w:t xml:space="preserve">"ככלל אומר כי רצונו של אדם להתגורר במקום כזה או אחר הוא בבחינת זכותו לחופש התנועה, וכך גם זכותה של האם להמשיך בחייה כרצונה, לקבוע את מהלך חייה, להקים תא משפחתי חדש ולפתוח בדרך חדשה... לצד זכות זו של האם, אין לשכוח כי עומדת גם זכותו של האב לשמור על קשר רציף ומיטבי עם בנו. אין מדובר בקטין שזמני השהות שלו עם אביו כיום אינם משמעותיים </w:t>
      </w:r>
      <w:r w:rsidRPr="003C271B">
        <w:rPr>
          <w:rFonts w:ascii="Miriam" w:hAnsi="Miriam" w:cs="Miriam"/>
          <w:b/>
          <w:bCs/>
          <w:sz w:val="24"/>
          <w:szCs w:val="24"/>
          <w:rtl/>
        </w:rPr>
        <w:lastRenderedPageBreak/>
        <w:t>או מצומצמים. במקרה שכזה, הרי שהקשר של הקטין עם אביו יתרופף משמעותית הן בתדירותו, הן באיכותו ויהפוך להיות קשר של ביקורים בעיקר בסופי שבוע"</w:t>
      </w:r>
      <w:r w:rsidR="00A8246C">
        <w:rPr>
          <w:rFonts w:ascii="Miriam" w:hAnsi="Miriam" w:cs="Miriam" w:hint="cs"/>
          <w:b/>
          <w:bCs/>
          <w:sz w:val="24"/>
          <w:szCs w:val="24"/>
          <w:rtl/>
        </w:rPr>
        <w:t>.</w:t>
      </w:r>
      <w:r w:rsidR="0098610E">
        <w:rPr>
          <w:rFonts w:ascii="David" w:hAnsi="David" w:cs="David" w:hint="cs"/>
          <w:sz w:val="24"/>
          <w:szCs w:val="24"/>
          <w:rtl/>
        </w:rPr>
        <w:t xml:space="preserve"> </w:t>
      </w:r>
      <w:r w:rsidRPr="003C271B">
        <w:rPr>
          <w:rFonts w:ascii="David" w:hAnsi="David" w:cs="David"/>
          <w:sz w:val="24"/>
          <w:szCs w:val="24"/>
          <w:rtl/>
        </w:rPr>
        <w:t>[תלה"מ (ת</w:t>
      </w:r>
      <w:r w:rsidR="0098610E">
        <w:rPr>
          <w:rFonts w:ascii="David" w:hAnsi="David" w:cs="David" w:hint="cs"/>
          <w:sz w:val="24"/>
          <w:szCs w:val="24"/>
          <w:rtl/>
        </w:rPr>
        <w:t>"א</w:t>
      </w:r>
      <w:r w:rsidRPr="003C271B">
        <w:rPr>
          <w:rFonts w:ascii="David" w:hAnsi="David" w:cs="David"/>
          <w:sz w:val="24"/>
          <w:szCs w:val="24"/>
          <w:rtl/>
        </w:rPr>
        <w:t>) 17292-05-19‏ ‏</w:t>
      </w:r>
      <w:r w:rsidRPr="003C271B">
        <w:rPr>
          <w:rFonts w:ascii="David" w:hAnsi="David" w:cs="David"/>
          <w:b/>
          <w:bCs/>
          <w:sz w:val="24"/>
          <w:szCs w:val="24"/>
          <w:rtl/>
        </w:rPr>
        <w:t>א. ח נ' י. ח</w:t>
      </w:r>
      <w:r w:rsidRPr="003C271B">
        <w:rPr>
          <w:rFonts w:ascii="David" w:hAnsi="David" w:cs="David"/>
          <w:sz w:val="24"/>
          <w:szCs w:val="24"/>
          <w:rtl/>
        </w:rPr>
        <w:t xml:space="preserve"> (</w:t>
      </w:r>
      <w:r w:rsidR="0098610E">
        <w:rPr>
          <w:rFonts w:ascii="David" w:hAnsi="David" w:cs="David" w:hint="cs"/>
          <w:sz w:val="24"/>
          <w:szCs w:val="24"/>
          <w:rtl/>
        </w:rPr>
        <w:t xml:space="preserve">פורסם בנבו, </w:t>
      </w:r>
      <w:r w:rsidRPr="003C271B">
        <w:rPr>
          <w:rFonts w:ascii="David" w:hAnsi="David" w:cs="David"/>
          <w:sz w:val="24"/>
          <w:szCs w:val="24"/>
          <w:rtl/>
        </w:rPr>
        <w:t>7.12.20)].</w:t>
      </w:r>
      <w:r w:rsidRPr="003C271B">
        <w:rPr>
          <w:rFonts w:ascii="David" w:hAnsi="David" w:cs="David" w:hint="cs"/>
          <w:sz w:val="24"/>
          <w:szCs w:val="24"/>
          <w:rtl/>
        </w:rPr>
        <w:t xml:space="preserve"> </w:t>
      </w:r>
    </w:p>
    <w:p w:rsidR="008C3E5E" w:rsidRPr="00170EDB" w:rsidRDefault="008C3E5E" w:rsidP="008B7DA0">
      <w:pPr>
        <w:pStyle w:val="ad"/>
        <w:spacing w:after="0" w:line="360" w:lineRule="auto"/>
        <w:jc w:val="both"/>
        <w:rPr>
          <w:rFonts w:ascii="David" w:hAnsi="David" w:cs="David"/>
          <w:sz w:val="24"/>
          <w:szCs w:val="24"/>
          <w:rtl/>
        </w:rPr>
      </w:pPr>
      <w:r w:rsidRPr="00170EDB">
        <w:rPr>
          <w:rFonts w:ascii="David" w:hAnsi="David" w:cs="David" w:hint="cs"/>
          <w:sz w:val="24"/>
          <w:szCs w:val="24"/>
          <w:rtl/>
        </w:rPr>
        <w:t>וכך נקבע גם על ידי</w:t>
      </w:r>
      <w:r>
        <w:rPr>
          <w:rFonts w:ascii="David" w:hAnsi="David" w:cs="David" w:hint="cs"/>
          <w:sz w:val="24"/>
          <w:szCs w:val="24"/>
          <w:rtl/>
        </w:rPr>
        <w:t xml:space="preserve"> חברי כבוד השופט פלקס</w:t>
      </w:r>
      <w:r w:rsidRPr="00170EDB">
        <w:rPr>
          <w:rFonts w:ascii="David" w:hAnsi="David" w:cs="David" w:hint="cs"/>
          <w:sz w:val="24"/>
          <w:szCs w:val="24"/>
          <w:rtl/>
        </w:rPr>
        <w:t xml:space="preserve"> :</w:t>
      </w:r>
      <w:r w:rsidRPr="00170EDB">
        <w:rPr>
          <w:rFonts w:hint="cs"/>
          <w:rtl/>
        </w:rPr>
        <w:t xml:space="preserve"> </w:t>
      </w:r>
      <w:r>
        <w:rPr>
          <w:rFonts w:hint="cs"/>
          <w:rtl/>
        </w:rPr>
        <w:t>"</w:t>
      </w:r>
      <w:r w:rsidRPr="00170EDB">
        <w:rPr>
          <w:rFonts w:ascii="Miriam" w:hAnsi="Miriam" w:cs="Miriam"/>
          <w:b/>
          <w:bCs/>
          <w:sz w:val="24"/>
          <w:szCs w:val="24"/>
          <w:rtl/>
        </w:rPr>
        <w:t>באם תעבור האם עם הקטינים, כבקשתה והאב ימשיך להתגורר במקום מגוריו הנוכחי, יפגע באופן משמעותי הקשר שבין האב לבין הקטינים. אמנם האם הציעה שפעם בשבוע יגיע האב לאזור המרכז ויתראה עם הילדים למשך מספר שעות ואילו פעם נוספת במהלך השבוע היא תביאם אל ביתו למשך מספר שעות. דומני, כי פתרון זה אינו דומה להסדרי הראיה המוסכמים ואף כפי שפורט לעיל סבורני, כי לא יאריך ימים, מפאת הטלטלה והטרחה שתגרם לילדים. מעברה של האם להתגורר עם הקטינים בעיר ת. בעוד האב נותר להתגורר בישוב צ., יפגע משמעותית בנוכחות האב בחיי הילדים</w:t>
      </w:r>
      <w:r>
        <w:rPr>
          <w:rFonts w:hint="cs"/>
          <w:sz w:val="24"/>
          <w:szCs w:val="24"/>
          <w:rtl/>
        </w:rPr>
        <w:t>"</w:t>
      </w:r>
      <w:r w:rsidR="00A8246C">
        <w:rPr>
          <w:rFonts w:hint="cs"/>
          <w:sz w:val="24"/>
          <w:szCs w:val="24"/>
          <w:rtl/>
        </w:rPr>
        <w:t>.</w:t>
      </w:r>
      <w:r w:rsidR="0098610E">
        <w:rPr>
          <w:rFonts w:ascii="David" w:hAnsi="David" w:cs="David" w:hint="cs"/>
          <w:sz w:val="24"/>
          <w:szCs w:val="24"/>
          <w:rtl/>
        </w:rPr>
        <w:t xml:space="preserve"> </w:t>
      </w:r>
      <w:r w:rsidR="00A8246C">
        <w:rPr>
          <w:rFonts w:ascii="David" w:hAnsi="David" w:cs="David" w:hint="cs"/>
          <w:sz w:val="24"/>
          <w:szCs w:val="24"/>
          <w:rtl/>
        </w:rPr>
        <w:t>[</w:t>
      </w:r>
      <w:r w:rsidRPr="00170EDB">
        <w:rPr>
          <w:rFonts w:ascii="David" w:hAnsi="David" w:cs="David"/>
          <w:sz w:val="24"/>
          <w:szCs w:val="24"/>
          <w:rtl/>
        </w:rPr>
        <w:t>תמ"ש (י</w:t>
      </w:r>
      <w:r w:rsidR="0098610E">
        <w:rPr>
          <w:rFonts w:ascii="David" w:hAnsi="David" w:cs="David" w:hint="cs"/>
          <w:sz w:val="24"/>
          <w:szCs w:val="24"/>
          <w:rtl/>
        </w:rPr>
        <w:t>-</w:t>
      </w:r>
      <w:r w:rsidRPr="00170EDB">
        <w:rPr>
          <w:rFonts w:ascii="David" w:hAnsi="David" w:cs="David"/>
          <w:sz w:val="24"/>
          <w:szCs w:val="24"/>
          <w:rtl/>
        </w:rPr>
        <w:t xml:space="preserve">ם) 6415-11-11  </w:t>
      </w:r>
      <w:r w:rsidRPr="00170EDB">
        <w:rPr>
          <w:rFonts w:ascii="David" w:hAnsi="David" w:cs="David"/>
          <w:b/>
          <w:bCs/>
          <w:sz w:val="24"/>
          <w:szCs w:val="24"/>
          <w:rtl/>
        </w:rPr>
        <w:t>האב נ' האם</w:t>
      </w:r>
      <w:r>
        <w:rPr>
          <w:rFonts w:ascii="David" w:hAnsi="David" w:cs="David"/>
          <w:sz w:val="24"/>
          <w:szCs w:val="24"/>
          <w:rtl/>
        </w:rPr>
        <w:t xml:space="preserve"> (</w:t>
      </w:r>
      <w:r w:rsidR="0098610E">
        <w:rPr>
          <w:rFonts w:ascii="David" w:hAnsi="David" w:cs="David" w:hint="cs"/>
          <w:sz w:val="24"/>
          <w:szCs w:val="24"/>
          <w:rtl/>
        </w:rPr>
        <w:t xml:space="preserve">פורסם בנבו, </w:t>
      </w:r>
      <w:r>
        <w:rPr>
          <w:rFonts w:ascii="David" w:hAnsi="David" w:cs="David"/>
          <w:sz w:val="24"/>
          <w:szCs w:val="24"/>
          <w:rtl/>
        </w:rPr>
        <w:t>11.7.12)</w:t>
      </w:r>
      <w:r>
        <w:rPr>
          <w:rFonts w:ascii="David" w:hAnsi="David" w:cs="David" w:hint="cs"/>
          <w:sz w:val="24"/>
          <w:szCs w:val="24"/>
          <w:rtl/>
        </w:rPr>
        <w:t>]</w:t>
      </w:r>
      <w:r w:rsidRPr="00170EDB">
        <w:rPr>
          <w:rFonts w:ascii="David" w:hAnsi="David" w:cs="David"/>
          <w:sz w:val="24"/>
          <w:szCs w:val="24"/>
          <w:rtl/>
        </w:rPr>
        <w:t>.</w:t>
      </w:r>
    </w:p>
    <w:p w:rsidR="008C3E5E" w:rsidRDefault="008C3E5E" w:rsidP="008B7DA0">
      <w:pPr>
        <w:pStyle w:val="ad"/>
        <w:spacing w:after="0" w:line="360" w:lineRule="auto"/>
        <w:jc w:val="both"/>
        <w:rPr>
          <w:rFonts w:ascii="David" w:hAnsi="David" w:cs="David"/>
          <w:sz w:val="24"/>
          <w:szCs w:val="24"/>
        </w:rPr>
      </w:pPr>
    </w:p>
    <w:p w:rsidR="00D65B8A" w:rsidRDefault="00D65B8A" w:rsidP="008B7DA0">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על האמו</w:t>
      </w:r>
      <w:r w:rsidR="0098610E">
        <w:rPr>
          <w:rFonts w:ascii="David" w:hAnsi="David" w:cs="David" w:hint="cs"/>
          <w:sz w:val="24"/>
          <w:szCs w:val="24"/>
          <w:rtl/>
        </w:rPr>
        <w:t>ר יש להוסיף את עובדת</w:t>
      </w:r>
      <w:r>
        <w:rPr>
          <w:rFonts w:ascii="David" w:hAnsi="David" w:cs="David" w:hint="cs"/>
          <w:sz w:val="24"/>
          <w:szCs w:val="24"/>
          <w:rtl/>
        </w:rPr>
        <w:t xml:space="preserve"> מקום עבודת הנתבע בבקעת הירדן המרוחק עוד יותר מהעיר ראשון לציון והפגיעה האפשרית גם במקום עבודתו על מנת </w:t>
      </w:r>
      <w:r w:rsidR="0098610E">
        <w:rPr>
          <w:rFonts w:ascii="David" w:hAnsi="David" w:cs="David" w:hint="cs"/>
          <w:sz w:val="24"/>
          <w:szCs w:val="24"/>
          <w:rtl/>
        </w:rPr>
        <w:t>לקיים את זמני השהות של הקטין עמו והסעתו למסגרת חינוכו בעיר ראשון לציון או ממנה.</w:t>
      </w:r>
    </w:p>
    <w:p w:rsidR="0098610E" w:rsidRPr="0098610E" w:rsidRDefault="0098610E" w:rsidP="008B7DA0">
      <w:pPr>
        <w:pStyle w:val="ad"/>
        <w:spacing w:after="0" w:line="360" w:lineRule="auto"/>
        <w:jc w:val="both"/>
        <w:rPr>
          <w:rFonts w:ascii="David" w:hAnsi="David" w:cs="David"/>
          <w:sz w:val="24"/>
          <w:szCs w:val="24"/>
        </w:rPr>
      </w:pPr>
    </w:p>
    <w:p w:rsidR="008B7DA0" w:rsidRDefault="008C3E5E" w:rsidP="008B7DA0">
      <w:pPr>
        <w:pStyle w:val="ad"/>
        <w:numPr>
          <w:ilvl w:val="0"/>
          <w:numId w:val="1"/>
        </w:numPr>
        <w:spacing w:after="0" w:line="360" w:lineRule="auto"/>
        <w:jc w:val="both"/>
        <w:rPr>
          <w:rFonts w:ascii="David" w:hAnsi="David" w:cs="David"/>
          <w:sz w:val="24"/>
          <w:szCs w:val="24"/>
        </w:rPr>
      </w:pPr>
      <w:r w:rsidRPr="008B7DA0">
        <w:rPr>
          <w:rFonts w:ascii="David" w:hAnsi="David" w:cs="David" w:hint="cs"/>
          <w:sz w:val="24"/>
          <w:szCs w:val="24"/>
          <w:rtl/>
        </w:rPr>
        <w:t xml:space="preserve">בית המשפט מבין ללבה של התובעת ולרצונה להעתיק את מקום מגוריה לאלתר לבית שרכשה בעיר ראשון לציון ולכתוב בעצמה את סיפור חייה. </w:t>
      </w:r>
      <w:r w:rsidR="00FA6D7C" w:rsidRPr="008B7DA0">
        <w:rPr>
          <w:rFonts w:ascii="David" w:hAnsi="David" w:cs="David" w:hint="cs"/>
          <w:sz w:val="24"/>
          <w:szCs w:val="24"/>
          <w:rtl/>
        </w:rPr>
        <w:t xml:space="preserve">נדמה שגם אין חולק </w:t>
      </w:r>
      <w:r w:rsidR="00FA6D7C" w:rsidRPr="008B7DA0">
        <w:rPr>
          <w:rFonts w:ascii="David" w:hAnsi="David" w:cs="David"/>
          <w:sz w:val="24"/>
          <w:szCs w:val="24"/>
          <w:rtl/>
        </w:rPr>
        <w:t xml:space="preserve">שיש להתחשב בכך שרווחת האם ומגוריה במקום שבו היא מאושרת </w:t>
      </w:r>
      <w:r w:rsidR="00FA6D7C" w:rsidRPr="008B7DA0">
        <w:rPr>
          <w:rFonts w:ascii="Arial" w:hAnsi="Arial" w:cs="David"/>
          <w:sz w:val="24"/>
          <w:szCs w:val="24"/>
          <w:rtl/>
        </w:rPr>
        <w:t xml:space="preserve">וזוכה לתמיכה רגשית וכלכלית של משפחה וחברים, משפיעה באופן ישיר </w:t>
      </w:r>
      <w:r w:rsidR="00FA6D7C" w:rsidRPr="008B7DA0">
        <w:rPr>
          <w:rFonts w:ascii="David" w:hAnsi="David" w:cs="David"/>
          <w:sz w:val="24"/>
          <w:szCs w:val="24"/>
          <w:rtl/>
        </w:rPr>
        <w:t xml:space="preserve">על רווחת </w:t>
      </w:r>
      <w:r w:rsidR="00FA6D7C" w:rsidRPr="008B7DA0">
        <w:rPr>
          <w:rFonts w:ascii="David" w:hAnsi="David" w:cs="David" w:hint="cs"/>
          <w:sz w:val="24"/>
          <w:szCs w:val="24"/>
          <w:rtl/>
        </w:rPr>
        <w:t>הקטין</w:t>
      </w:r>
      <w:r w:rsidR="00FA6D7C" w:rsidRPr="008B7DA0">
        <w:rPr>
          <w:rFonts w:ascii="David" w:hAnsi="David" w:cs="David"/>
          <w:sz w:val="24"/>
          <w:szCs w:val="24"/>
          <w:rtl/>
        </w:rPr>
        <w:t xml:space="preserve"> </w:t>
      </w:r>
      <w:r w:rsidR="00FA6D7C" w:rsidRPr="008B7DA0">
        <w:rPr>
          <w:rFonts w:ascii="Arial" w:hAnsi="Arial" w:cs="David" w:hint="cs"/>
          <w:sz w:val="24"/>
          <w:szCs w:val="24"/>
          <w:rtl/>
        </w:rPr>
        <w:t>[</w:t>
      </w:r>
      <w:hyperlink r:id="rId16" w:history="1">
        <w:r w:rsidR="00FA6D7C" w:rsidRPr="008B7DA0">
          <w:rPr>
            <w:rFonts w:ascii="Arial" w:hAnsi="Arial" w:cs="David"/>
            <w:color w:val="000000" w:themeColor="text1"/>
            <w:sz w:val="24"/>
            <w:szCs w:val="24"/>
            <w:rtl/>
          </w:rPr>
          <w:t>רמ"ש 63553-08-21</w:t>
        </w:r>
      </w:hyperlink>
      <w:r w:rsidR="00FA6D7C" w:rsidRPr="008B7DA0">
        <w:rPr>
          <w:rFonts w:ascii="Arial" w:hAnsi="Arial" w:cs="David"/>
          <w:color w:val="000000" w:themeColor="text1"/>
          <w:sz w:val="24"/>
          <w:szCs w:val="24"/>
          <w:rtl/>
        </w:rPr>
        <w:t xml:space="preserve"> </w:t>
      </w:r>
      <w:r w:rsidR="00FA6D7C" w:rsidRPr="008B7DA0">
        <w:rPr>
          <w:rFonts w:ascii="Arial" w:hAnsi="Arial" w:cs="David"/>
          <w:b/>
          <w:bCs/>
          <w:color w:val="000000" w:themeColor="text1"/>
          <w:sz w:val="24"/>
          <w:szCs w:val="24"/>
          <w:rtl/>
        </w:rPr>
        <w:t>ע' א' א' ואח'</w:t>
      </w:r>
      <w:r w:rsidR="00FA6D7C" w:rsidRPr="008B7DA0">
        <w:rPr>
          <w:rFonts w:ascii="Arial" w:hAnsi="Arial" w:cs="David"/>
          <w:color w:val="000000" w:themeColor="text1"/>
          <w:sz w:val="24"/>
          <w:szCs w:val="24"/>
          <w:rtl/>
        </w:rPr>
        <w:t xml:space="preserve"> </w:t>
      </w:r>
      <w:r w:rsidR="00FA6D7C" w:rsidRPr="008B7DA0">
        <w:rPr>
          <w:rFonts w:ascii="Times New Roman" w:hAnsi="Times New Roman" w:cs="David" w:hint="cs"/>
          <w:color w:val="000000" w:themeColor="text1"/>
          <w:sz w:val="24"/>
          <w:szCs w:val="24"/>
          <w:rtl/>
        </w:rPr>
        <w:t>(</w:t>
      </w:r>
      <w:r w:rsidR="00FA6D7C" w:rsidRPr="008B7DA0">
        <w:rPr>
          <w:rFonts w:ascii="Times New Roman" w:hAnsi="Times New Roman" w:cs="David"/>
          <w:color w:val="000000" w:themeColor="text1"/>
          <w:sz w:val="24"/>
          <w:szCs w:val="24"/>
          <w:rtl/>
        </w:rPr>
        <w:t>פורסם בנבו</w:t>
      </w:r>
      <w:r w:rsidR="00FA6D7C" w:rsidRPr="008B7DA0">
        <w:rPr>
          <w:rFonts w:ascii="Times New Roman" w:hAnsi="Times New Roman" w:cs="David" w:hint="cs"/>
          <w:color w:val="000000" w:themeColor="text1"/>
          <w:sz w:val="24"/>
          <w:szCs w:val="24"/>
          <w:rtl/>
        </w:rPr>
        <w:t xml:space="preserve">, 4.10.21); </w:t>
      </w:r>
      <w:hyperlink r:id="rId17" w:history="1">
        <w:r w:rsidR="00FA6D7C" w:rsidRPr="008B7DA0">
          <w:rPr>
            <w:rFonts w:ascii="Arial" w:hAnsi="Arial" w:cs="David"/>
            <w:color w:val="000000" w:themeColor="text1"/>
            <w:sz w:val="24"/>
            <w:szCs w:val="24"/>
            <w:rtl/>
          </w:rPr>
          <w:t>עמ"ש 9963-06-11</w:t>
        </w:r>
      </w:hyperlink>
      <w:r w:rsidR="00FA6D7C" w:rsidRPr="008B7DA0">
        <w:rPr>
          <w:rFonts w:ascii="Arial" w:hAnsi="Arial" w:cs="David"/>
          <w:color w:val="000000" w:themeColor="text1"/>
          <w:sz w:val="24"/>
          <w:szCs w:val="24"/>
          <w:rtl/>
        </w:rPr>
        <w:t xml:space="preserve"> </w:t>
      </w:r>
      <w:r w:rsidR="00FA6D7C" w:rsidRPr="008B7DA0">
        <w:rPr>
          <w:rFonts w:ascii="Arial" w:hAnsi="Arial" w:cs="David"/>
          <w:b/>
          <w:bCs/>
          <w:color w:val="000000" w:themeColor="text1"/>
          <w:sz w:val="24"/>
          <w:szCs w:val="24"/>
          <w:rtl/>
        </w:rPr>
        <w:t>פלונית נ' אלמוני</w:t>
      </w:r>
      <w:r w:rsidR="00FA6D7C" w:rsidRPr="008B7DA0">
        <w:rPr>
          <w:rFonts w:ascii="Arial" w:hAnsi="Arial" w:cs="David"/>
          <w:color w:val="000000" w:themeColor="text1"/>
          <w:sz w:val="24"/>
          <w:szCs w:val="24"/>
          <w:rtl/>
        </w:rPr>
        <w:t xml:space="preserve"> </w:t>
      </w:r>
      <w:r w:rsidR="00FA6D7C" w:rsidRPr="008B7DA0">
        <w:rPr>
          <w:rFonts w:ascii="Times New Roman" w:hAnsi="Times New Roman" w:cs="David" w:hint="cs"/>
          <w:color w:val="000000" w:themeColor="text1"/>
          <w:sz w:val="24"/>
          <w:szCs w:val="24"/>
          <w:rtl/>
        </w:rPr>
        <w:t>(</w:t>
      </w:r>
      <w:r w:rsidR="00FA6D7C" w:rsidRPr="008B7DA0">
        <w:rPr>
          <w:rFonts w:ascii="Times New Roman" w:hAnsi="Times New Roman" w:cs="David"/>
          <w:color w:val="000000" w:themeColor="text1"/>
          <w:sz w:val="24"/>
          <w:szCs w:val="24"/>
          <w:rtl/>
        </w:rPr>
        <w:t>פורסם בנבו</w:t>
      </w:r>
      <w:r w:rsidR="00FA6D7C" w:rsidRPr="008B7DA0">
        <w:rPr>
          <w:rFonts w:ascii="Arial" w:hAnsi="Arial" w:cs="David"/>
          <w:color w:val="000000" w:themeColor="text1"/>
          <w:sz w:val="24"/>
          <w:szCs w:val="24"/>
          <w:rtl/>
        </w:rPr>
        <w:t>, 11.08.11)</w:t>
      </w:r>
      <w:r w:rsidR="00FA6D7C" w:rsidRPr="008B7DA0">
        <w:rPr>
          <w:rFonts w:ascii="Arial" w:hAnsi="Arial" w:cs="David" w:hint="cs"/>
          <w:color w:val="000000" w:themeColor="text1"/>
          <w:sz w:val="24"/>
          <w:szCs w:val="24"/>
          <w:rtl/>
        </w:rPr>
        <w:t>]</w:t>
      </w:r>
      <w:r w:rsidR="00FA6D7C" w:rsidRPr="008B7DA0">
        <w:rPr>
          <w:rFonts w:ascii="Arial" w:hAnsi="Arial" w:cs="David"/>
          <w:color w:val="000000" w:themeColor="text1"/>
          <w:sz w:val="24"/>
          <w:szCs w:val="24"/>
          <w:rtl/>
        </w:rPr>
        <w:t>.</w:t>
      </w:r>
      <w:r w:rsidR="00FA6D7C" w:rsidRPr="008B7DA0">
        <w:rPr>
          <w:rFonts w:ascii="David" w:hAnsi="David" w:cs="David" w:hint="cs"/>
          <w:color w:val="000000" w:themeColor="text1"/>
          <w:sz w:val="24"/>
          <w:szCs w:val="24"/>
          <w:rtl/>
        </w:rPr>
        <w:t xml:space="preserve"> </w:t>
      </w:r>
      <w:r w:rsidRPr="008B7DA0">
        <w:rPr>
          <w:rFonts w:ascii="David" w:hAnsi="David" w:cs="David" w:hint="cs"/>
          <w:sz w:val="24"/>
          <w:szCs w:val="24"/>
          <w:rtl/>
        </w:rPr>
        <w:t xml:space="preserve">ברם, אין בסיבה זו להצדיק את מעבר מגורי הקטין באופן שישנה </w:t>
      </w:r>
      <w:r w:rsidRPr="008B7DA0">
        <w:rPr>
          <w:rFonts w:ascii="David" w:hAnsi="David" w:cs="David"/>
          <w:sz w:val="24"/>
          <w:szCs w:val="24"/>
          <w:rtl/>
        </w:rPr>
        <w:t>–</w:t>
      </w:r>
      <w:r w:rsidRPr="008B7DA0">
        <w:rPr>
          <w:rFonts w:ascii="David" w:hAnsi="David" w:cs="David" w:hint="cs"/>
          <w:sz w:val="24"/>
          <w:szCs w:val="24"/>
          <w:rtl/>
        </w:rPr>
        <w:t xml:space="preserve"> כמותית ואיכותית </w:t>
      </w:r>
      <w:r w:rsidRPr="008B7DA0">
        <w:rPr>
          <w:rFonts w:ascii="David" w:hAnsi="David" w:cs="David"/>
          <w:sz w:val="24"/>
          <w:szCs w:val="24"/>
          <w:rtl/>
        </w:rPr>
        <w:t>–</w:t>
      </w:r>
      <w:r w:rsidRPr="008B7DA0">
        <w:rPr>
          <w:rFonts w:ascii="David" w:hAnsi="David" w:cs="David" w:hint="cs"/>
          <w:sz w:val="24"/>
          <w:szCs w:val="24"/>
          <w:rtl/>
        </w:rPr>
        <w:t xml:space="preserve"> את מקומו של הנתבע בחייו כאשר העו"ס סבורה שטובתו אינה בצמצום זמני השהות שלו והקשר שלו עם הנתבע. </w:t>
      </w:r>
    </w:p>
    <w:p w:rsidR="008C3E5E" w:rsidRPr="008B7DA0" w:rsidRDefault="008C3E5E" w:rsidP="008B7DA0">
      <w:pPr>
        <w:pStyle w:val="ad"/>
        <w:spacing w:after="0" w:line="360" w:lineRule="auto"/>
        <w:jc w:val="both"/>
        <w:rPr>
          <w:rFonts w:ascii="David" w:hAnsi="David" w:cs="David"/>
          <w:sz w:val="24"/>
          <w:szCs w:val="24"/>
        </w:rPr>
      </w:pPr>
      <w:r w:rsidRPr="008B7DA0">
        <w:rPr>
          <w:rFonts w:ascii="David" w:hAnsi="David" w:cs="David" w:hint="cs"/>
          <w:sz w:val="24"/>
          <w:szCs w:val="24"/>
          <w:rtl/>
        </w:rPr>
        <w:t xml:space="preserve">כך קבע בהקשר זה בית המשפט המחוזי בתל אביב: </w:t>
      </w:r>
      <w:r w:rsidRPr="008B7DA0">
        <w:rPr>
          <w:rFonts w:ascii="Miriam" w:eastAsia="Times New Roman" w:hAnsi="Miriam" w:cs="Miriam"/>
          <w:b/>
          <w:bCs/>
          <w:sz w:val="24"/>
          <w:szCs w:val="24"/>
          <w:rtl/>
        </w:rPr>
        <w:t>"</w:t>
      </w:r>
      <w:r w:rsidRPr="008B7DA0">
        <w:rPr>
          <w:rFonts w:ascii="Miriam" w:hAnsi="Miriam" w:cs="Miriam"/>
          <w:b/>
          <w:bCs/>
          <w:sz w:val="24"/>
          <w:szCs w:val="24"/>
          <w:rtl/>
        </w:rPr>
        <w:t xml:space="preserve">בקשה להעתקת מקום מגוריו של הקטין, הן בארץ והן לחו"ל, צריכה להיבחן לאור עקרון טובת הילד בלבד... אכן, זכותו של כל הורה לקבוע את מהלך חייו ולבחור את מקום מגוריו... ואולם, כפי שהיטיב לנסח זאת כב' השופט ניצן סילמן בתמ"ש (קריות) 6832/01/13 פלוני נ' פלונית (1.9.13) שעה שהוא דן בוויתור שמצופה מהורים לעשות לטובת ילדיהם בכל הנוגע למקום המגורים: 'חירות התנועה, זכות השיקום, הזכות לקבוע גורל קטין - כל אלו זכויות הוריות; אלו מתגמדות למול טובתו של ד'. כאשר מביאים אנו, כהורים, ילדים לעולם, 'מוותרים' אנו על זכויות רבות - נשללת מאתנו פרטיות, חופש מסוים, שלווה מסוימת, וזוכים אנו בהנאות רבות; הוויתור הינו מודע, כחלק מאחריותנו ההורית, יכולת </w:t>
      </w:r>
      <w:r w:rsidRPr="008B7DA0">
        <w:rPr>
          <w:rFonts w:ascii="Miriam" w:hAnsi="Miriam" w:cs="Miriam"/>
          <w:b/>
          <w:bCs/>
          <w:sz w:val="24"/>
          <w:szCs w:val="24"/>
          <w:rtl/>
        </w:rPr>
        <w:lastRenderedPageBreak/>
        <w:t>השיקום, וניהול החיים לא נשללים אוטומטית,</w:t>
      </w:r>
      <w:r w:rsidR="00A8246C" w:rsidRPr="008B7DA0">
        <w:rPr>
          <w:rFonts w:ascii="Miriam" w:hAnsi="Miriam" w:cs="Miriam"/>
          <w:b/>
          <w:bCs/>
          <w:sz w:val="24"/>
          <w:szCs w:val="24"/>
          <w:rtl/>
        </w:rPr>
        <w:t xml:space="preserve"> אלא שכפופים הם לטובת הקטין..."</w:t>
      </w:r>
      <w:r w:rsidR="00FA6D7C" w:rsidRPr="008B7DA0">
        <w:rPr>
          <w:rFonts w:ascii="Miriam" w:hAnsi="Miriam" w:cs="Miriam" w:hint="cs"/>
          <w:sz w:val="24"/>
          <w:szCs w:val="24"/>
          <w:rtl/>
        </w:rPr>
        <w:t xml:space="preserve"> </w:t>
      </w:r>
      <w:r w:rsidRPr="008B7DA0">
        <w:rPr>
          <w:rFonts w:ascii="Miriam" w:hAnsi="Miriam" w:cs="Miriam" w:hint="cs"/>
          <w:sz w:val="24"/>
          <w:szCs w:val="24"/>
          <w:rtl/>
        </w:rPr>
        <w:t>[</w:t>
      </w:r>
      <w:r w:rsidRPr="008B7DA0">
        <w:rPr>
          <w:rFonts w:ascii="David" w:hAnsi="David" w:cs="David"/>
          <w:sz w:val="24"/>
          <w:szCs w:val="24"/>
          <w:rtl/>
        </w:rPr>
        <w:t xml:space="preserve">עמ"ש (מחוזי תל אביב) 59552-06-20‏‏ </w:t>
      </w:r>
      <w:r w:rsidRPr="008B7DA0">
        <w:rPr>
          <w:rFonts w:ascii="David" w:hAnsi="David" w:cs="David"/>
          <w:b/>
          <w:bCs/>
          <w:sz w:val="24"/>
          <w:szCs w:val="24"/>
          <w:rtl/>
        </w:rPr>
        <w:t>פלונית נ' פלוני</w:t>
      </w:r>
      <w:r w:rsidRPr="008B7DA0">
        <w:rPr>
          <w:rFonts w:ascii="David" w:hAnsi="David" w:cs="David"/>
          <w:sz w:val="24"/>
          <w:szCs w:val="24"/>
          <w:rtl/>
        </w:rPr>
        <w:t xml:space="preserve"> (</w:t>
      </w:r>
      <w:r w:rsidR="00FA6D7C" w:rsidRPr="008B7DA0">
        <w:rPr>
          <w:rFonts w:ascii="David" w:hAnsi="David" w:cs="David" w:hint="cs"/>
          <w:sz w:val="24"/>
          <w:szCs w:val="24"/>
          <w:rtl/>
        </w:rPr>
        <w:t xml:space="preserve">פורסם בנבו, </w:t>
      </w:r>
      <w:r w:rsidRPr="008B7DA0">
        <w:rPr>
          <w:rFonts w:ascii="David" w:hAnsi="David" w:cs="David"/>
          <w:sz w:val="24"/>
          <w:szCs w:val="24"/>
          <w:rtl/>
        </w:rPr>
        <w:t>7.1.21)</w:t>
      </w:r>
      <w:r w:rsidRPr="008B7DA0">
        <w:rPr>
          <w:rFonts w:ascii="David" w:hAnsi="David" w:cs="David" w:hint="cs"/>
          <w:sz w:val="24"/>
          <w:szCs w:val="24"/>
          <w:rtl/>
        </w:rPr>
        <w:t>].</w:t>
      </w:r>
    </w:p>
    <w:p w:rsidR="008B7DA0" w:rsidRDefault="008B7DA0" w:rsidP="008B7DA0">
      <w:pPr>
        <w:pStyle w:val="ad"/>
        <w:spacing w:after="0" w:line="360" w:lineRule="auto"/>
        <w:jc w:val="both"/>
        <w:rPr>
          <w:rFonts w:ascii="David" w:hAnsi="David" w:cs="David"/>
          <w:sz w:val="24"/>
          <w:szCs w:val="24"/>
        </w:rPr>
      </w:pPr>
    </w:p>
    <w:p w:rsidR="008C3E5E" w:rsidRDefault="008C3E5E" w:rsidP="008B7DA0">
      <w:pPr>
        <w:pStyle w:val="ad"/>
        <w:numPr>
          <w:ilvl w:val="0"/>
          <w:numId w:val="1"/>
        </w:numPr>
        <w:spacing w:after="0" w:line="360" w:lineRule="auto"/>
        <w:jc w:val="both"/>
        <w:rPr>
          <w:rFonts w:ascii="David" w:hAnsi="David" w:cs="David"/>
          <w:sz w:val="24"/>
          <w:szCs w:val="24"/>
        </w:rPr>
      </w:pPr>
      <w:r w:rsidRPr="00170EDB">
        <w:rPr>
          <w:rFonts w:ascii="David" w:hAnsi="David" w:cs="David" w:hint="cs"/>
          <w:sz w:val="24"/>
          <w:szCs w:val="24"/>
          <w:rtl/>
        </w:rPr>
        <w:t xml:space="preserve">עם כל ההבנה לרצונה של התובעת, ומבלי להקל ראש בזכותה לקבוע את מקום מגוריה בעצמה, בבחינת מכלול הנסיבות "האיזון המשולש" </w:t>
      </w:r>
      <w:r w:rsidR="00A8246C">
        <w:rPr>
          <w:rFonts w:ascii="David" w:hAnsi="David" w:cs="David" w:hint="cs"/>
          <w:sz w:val="24"/>
          <w:szCs w:val="24"/>
          <w:rtl/>
        </w:rPr>
        <w:t>שבבסיסו טובת הקטין</w:t>
      </w:r>
      <w:r w:rsidRPr="00170EDB">
        <w:rPr>
          <w:rFonts w:ascii="David" w:hAnsi="David" w:cs="David" w:hint="cs"/>
          <w:sz w:val="24"/>
          <w:szCs w:val="24"/>
          <w:rtl/>
        </w:rPr>
        <w:t xml:space="preserve"> אינו נוטה בשלב זה לטובת המעבר.</w:t>
      </w:r>
    </w:p>
    <w:p w:rsidR="008C3E5E" w:rsidRPr="008B7DA0" w:rsidRDefault="008C3E5E" w:rsidP="008B7DA0">
      <w:pPr>
        <w:pStyle w:val="ad"/>
        <w:spacing w:after="0" w:line="360" w:lineRule="auto"/>
        <w:rPr>
          <w:rFonts w:ascii="David" w:hAnsi="David" w:cs="David"/>
          <w:sz w:val="24"/>
          <w:szCs w:val="24"/>
          <w:rtl/>
        </w:rPr>
      </w:pPr>
    </w:p>
    <w:p w:rsidR="008C3E5E" w:rsidRDefault="008C3E5E" w:rsidP="008B7DA0">
      <w:pPr>
        <w:pStyle w:val="ad"/>
        <w:numPr>
          <w:ilvl w:val="0"/>
          <w:numId w:val="1"/>
        </w:numPr>
        <w:spacing w:after="0" w:line="360" w:lineRule="auto"/>
        <w:jc w:val="both"/>
        <w:rPr>
          <w:rFonts w:ascii="David" w:hAnsi="David" w:cs="David"/>
          <w:sz w:val="24"/>
          <w:szCs w:val="24"/>
        </w:rPr>
      </w:pPr>
      <w:r w:rsidRPr="00170EDB">
        <w:rPr>
          <w:rFonts w:ascii="David" w:hAnsi="David" w:cs="David" w:hint="cs"/>
          <w:sz w:val="24"/>
          <w:szCs w:val="24"/>
          <w:rtl/>
        </w:rPr>
        <w:t>אדגיש שאין באמור כדי למנוע מהצדדים להמשיך להידבר ולנסות למצוא פתרונות נוספים, או אף לקבוע מסמרות בשאלה האמור</w:t>
      </w:r>
      <w:r w:rsidR="00A8246C">
        <w:rPr>
          <w:rFonts w:ascii="David" w:hAnsi="David" w:cs="David" w:hint="cs"/>
          <w:sz w:val="24"/>
          <w:szCs w:val="24"/>
          <w:rtl/>
        </w:rPr>
        <w:t>ה</w:t>
      </w:r>
      <w:r w:rsidRPr="00170EDB">
        <w:rPr>
          <w:rFonts w:ascii="David" w:hAnsi="David" w:cs="David" w:hint="cs"/>
          <w:sz w:val="24"/>
          <w:szCs w:val="24"/>
          <w:rtl/>
        </w:rPr>
        <w:t xml:space="preserve"> מעתה ועד שימלאו לקטין 18 שנים. כפי שנאמר בדיון יתכן שבעתיד ייווצרו נסיבות בהן שני הצדדים יהיו מעוניינים לעזוב את ירושלים ועוד. פסק הדין מתייחס לנתונים הקיימים כיום </w:t>
      </w:r>
      <w:r w:rsidRPr="00170EDB">
        <w:rPr>
          <w:rFonts w:ascii="David" w:hAnsi="David" w:cs="David"/>
          <w:sz w:val="24"/>
          <w:szCs w:val="24"/>
          <w:rtl/>
        </w:rPr>
        <w:t>–</w:t>
      </w:r>
      <w:r w:rsidRPr="00170EDB">
        <w:rPr>
          <w:rFonts w:ascii="David" w:hAnsi="David" w:cs="David" w:hint="cs"/>
          <w:sz w:val="24"/>
          <w:szCs w:val="24"/>
          <w:rtl/>
        </w:rPr>
        <w:t xml:space="preserve"> לרבות בכל הנוגע לגיל הקטין ומצבו, למניעי המעבר, לחלוקת זמני השהות וכו', והוא מתייחס לנקודת האיזון הראויה בין השיקולים </w:t>
      </w:r>
      <w:r w:rsidRPr="00170EDB">
        <w:rPr>
          <w:rFonts w:ascii="David" w:hAnsi="David" w:cs="David"/>
          <w:sz w:val="24"/>
          <w:szCs w:val="24"/>
          <w:rtl/>
        </w:rPr>
        <w:t>השונים. יתכן שאותו מרחק וזמן נסיעה יביא - בנסיבות שונות - לנקודת איזון שונה. משמעות פסק דין זה היא, שלתביעה להעתיק את מקום מגורי הנתבעת והקטי</w:t>
      </w:r>
      <w:r w:rsidR="001E6690">
        <w:rPr>
          <w:rFonts w:ascii="David" w:hAnsi="David" w:cs="David" w:hint="cs"/>
          <w:sz w:val="24"/>
          <w:szCs w:val="24"/>
          <w:rtl/>
        </w:rPr>
        <w:t>ן</w:t>
      </w:r>
      <w:r w:rsidRPr="00170EDB">
        <w:rPr>
          <w:rFonts w:ascii="David" w:hAnsi="David" w:cs="David"/>
          <w:sz w:val="24"/>
          <w:szCs w:val="24"/>
          <w:rtl/>
        </w:rPr>
        <w:t xml:space="preserve"> בשלב זה לראשון לציון לא ניתן להיעתר.</w:t>
      </w:r>
    </w:p>
    <w:p w:rsidR="00A8246C" w:rsidRPr="00A8246C" w:rsidRDefault="00A8246C" w:rsidP="008B7DA0">
      <w:pPr>
        <w:pStyle w:val="ad"/>
        <w:spacing w:after="0" w:line="360" w:lineRule="auto"/>
        <w:rPr>
          <w:rFonts w:ascii="David" w:hAnsi="David" w:cs="David"/>
          <w:sz w:val="24"/>
          <w:szCs w:val="24"/>
          <w:rtl/>
        </w:rPr>
      </w:pPr>
    </w:p>
    <w:p w:rsidR="00A8246C" w:rsidRPr="00170EDB" w:rsidRDefault="00A8246C" w:rsidP="008B7DA0">
      <w:pPr>
        <w:pStyle w:val="ad"/>
        <w:numPr>
          <w:ilvl w:val="0"/>
          <w:numId w:val="1"/>
        </w:numPr>
        <w:spacing w:after="0" w:line="360" w:lineRule="auto"/>
        <w:jc w:val="both"/>
        <w:rPr>
          <w:rFonts w:ascii="David" w:hAnsi="David" w:cs="David"/>
          <w:sz w:val="24"/>
          <w:szCs w:val="24"/>
          <w:rtl/>
        </w:rPr>
      </w:pPr>
      <w:r>
        <w:rPr>
          <w:rFonts w:ascii="David" w:hAnsi="David" w:cs="David" w:hint="cs"/>
          <w:sz w:val="24"/>
          <w:szCs w:val="24"/>
          <w:rtl/>
        </w:rPr>
        <w:t xml:space="preserve">לאור האמור נדחית התובענה להעתקת מקום מגורים. הצדדים לא נתנו דעתם בסיכומיהם לתובענה למתן צו מניעה קבוע. בנסיבות העניין ולאור הוראות </w:t>
      </w:r>
      <w:r w:rsidRPr="00A8246C">
        <w:rPr>
          <w:rFonts w:ascii="David" w:hAnsi="David" w:cs="David" w:hint="cs"/>
          <w:b/>
          <w:bCs/>
          <w:sz w:val="24"/>
          <w:szCs w:val="24"/>
          <w:rtl/>
        </w:rPr>
        <w:t>חוק הכשרות המשפטית והאפוטרופסות</w:t>
      </w:r>
      <w:r>
        <w:rPr>
          <w:rFonts w:ascii="David" w:hAnsi="David" w:cs="David" w:hint="cs"/>
          <w:sz w:val="24"/>
          <w:szCs w:val="24"/>
          <w:rtl/>
        </w:rPr>
        <w:t xml:space="preserve"> אני קובעת שלא יועתקו מקום מגורי הקטין לעיר אחר</w:t>
      </w:r>
      <w:r w:rsidR="00FA6D7C">
        <w:rPr>
          <w:rFonts w:ascii="David" w:hAnsi="David" w:cs="David" w:hint="cs"/>
          <w:sz w:val="24"/>
          <w:szCs w:val="24"/>
          <w:rtl/>
        </w:rPr>
        <w:t xml:space="preserve">ת </w:t>
      </w:r>
      <w:r>
        <w:rPr>
          <w:rFonts w:ascii="David" w:hAnsi="David" w:cs="David" w:hint="cs"/>
          <w:sz w:val="24"/>
          <w:szCs w:val="24"/>
          <w:rtl/>
        </w:rPr>
        <w:t>או מסגרת חינוכו אלא בהסכמת ההורים בכתב או באישור בית המשפט לעשות כן.</w:t>
      </w:r>
    </w:p>
    <w:p w:rsidR="008C3E5E" w:rsidRDefault="008C3E5E" w:rsidP="008B7DA0">
      <w:pPr>
        <w:spacing w:line="360" w:lineRule="auto"/>
        <w:rPr>
          <w:rtl/>
        </w:rPr>
      </w:pPr>
    </w:p>
    <w:p w:rsidR="008C3E5E" w:rsidRDefault="001E6690" w:rsidP="008B7DA0">
      <w:pPr>
        <w:pStyle w:val="ad"/>
        <w:numPr>
          <w:ilvl w:val="0"/>
          <w:numId w:val="1"/>
        </w:numPr>
        <w:spacing w:after="0" w:line="360" w:lineRule="auto"/>
        <w:jc w:val="both"/>
        <w:rPr>
          <w:rFonts w:ascii="David" w:hAnsi="David" w:cs="David"/>
          <w:sz w:val="24"/>
          <w:szCs w:val="24"/>
        </w:rPr>
      </w:pPr>
      <w:r>
        <w:rPr>
          <w:rFonts w:ascii="David" w:hAnsi="David" w:cs="David" w:hint="cs"/>
          <w:sz w:val="24"/>
          <w:szCs w:val="24"/>
          <w:rtl/>
        </w:rPr>
        <w:t xml:space="preserve">לאור התוצאה, </w:t>
      </w:r>
      <w:r w:rsidR="00181854">
        <w:rPr>
          <w:rFonts w:ascii="David" w:hAnsi="David" w:cs="David"/>
          <w:sz w:val="24"/>
          <w:szCs w:val="24"/>
          <w:rtl/>
        </w:rPr>
        <w:t>בהתחשב במכלול הנסיבות</w:t>
      </w:r>
      <w:r w:rsidR="00181854">
        <w:rPr>
          <w:rFonts w:ascii="David" w:hAnsi="David" w:cs="David" w:hint="cs"/>
          <w:sz w:val="24"/>
          <w:szCs w:val="24"/>
          <w:rtl/>
        </w:rPr>
        <w:t xml:space="preserve"> </w:t>
      </w:r>
      <w:r w:rsidR="008C3E5E" w:rsidRPr="00181854">
        <w:rPr>
          <w:rFonts w:ascii="David" w:hAnsi="David" w:cs="David"/>
          <w:sz w:val="24"/>
          <w:szCs w:val="24"/>
          <w:rtl/>
        </w:rPr>
        <w:t xml:space="preserve">וגם על מנת שלא להחריף עוד את הסכסוך בין הצדדים, </w:t>
      </w:r>
      <w:r w:rsidR="00181854">
        <w:rPr>
          <w:rFonts w:ascii="David" w:hAnsi="David" w:cs="David" w:hint="cs"/>
          <w:sz w:val="24"/>
          <w:szCs w:val="24"/>
          <w:rtl/>
        </w:rPr>
        <w:t>תישא התובעת בהוצאות הנתבע על הצד הנמוך בסך של 4,000 ₪.</w:t>
      </w:r>
    </w:p>
    <w:p w:rsidR="001E6690" w:rsidRPr="001E6690" w:rsidRDefault="001E6690" w:rsidP="008B7DA0">
      <w:pPr>
        <w:pStyle w:val="ad"/>
        <w:spacing w:after="0" w:line="360" w:lineRule="auto"/>
        <w:rPr>
          <w:rFonts w:ascii="David" w:hAnsi="David" w:cs="David"/>
          <w:sz w:val="24"/>
          <w:szCs w:val="24"/>
          <w:rtl/>
        </w:rPr>
      </w:pPr>
    </w:p>
    <w:p w:rsidR="001E6690" w:rsidRPr="00181854" w:rsidRDefault="001E6690" w:rsidP="008B7DA0">
      <w:pPr>
        <w:pStyle w:val="ad"/>
        <w:spacing w:after="0" w:line="360" w:lineRule="auto"/>
        <w:jc w:val="both"/>
        <w:rPr>
          <w:rFonts w:ascii="David" w:hAnsi="David" w:cs="David"/>
          <w:sz w:val="24"/>
          <w:szCs w:val="24"/>
          <w:rtl/>
        </w:rPr>
      </w:pPr>
      <w:r>
        <w:rPr>
          <w:rFonts w:ascii="David" w:hAnsi="David" w:cs="David" w:hint="cs"/>
          <w:sz w:val="24"/>
          <w:szCs w:val="24"/>
          <w:rtl/>
        </w:rPr>
        <w:t>בהעדר התנגדות עניינית בתוך 7 ימים יותר פסק הדין לפרסום בהשמטת פרטים מזהים.</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550738450"/>
          <w:text w:multiLine="1"/>
        </w:sdtPr>
        <w:sdtEndPr/>
        <w:sdtContent>
          <w:r>
            <w:rPr>
              <w:rFonts w:ascii="Arial" w:hAnsi="Arial"/>
              <w:noProof w:val="0"/>
              <w:rtl/>
            </w:rPr>
            <w:t>ב' שבט תשפ"ג</w:t>
          </w:r>
        </w:sdtContent>
      </w:sdt>
      <w:r>
        <w:rPr>
          <w:rFonts w:ascii="Arial" w:hAnsi="Arial"/>
          <w:noProof w:val="0"/>
          <w:rtl/>
        </w:rPr>
        <w:t xml:space="preserve">, </w:t>
      </w:r>
      <w:sdt>
        <w:sdtPr>
          <w:rPr>
            <w:rtl/>
          </w:rPr>
          <w:alias w:val="1456"/>
          <w:tag w:val="1456"/>
          <w:id w:val="213085585"/>
          <w:text w:multiLine="1"/>
        </w:sdtPr>
        <w:sdtEndPr/>
        <w:sdtContent>
          <w:r>
            <w:rPr>
              <w:rFonts w:ascii="Arial" w:hAnsi="Arial"/>
              <w:noProof w:val="0"/>
              <w:rtl/>
            </w:rPr>
            <w:t>24 ינואר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521467" w:rsidP="00521467">
      <w:pPr>
        <w:spacing w:line="360" w:lineRule="auto"/>
        <w:jc w:val="center"/>
      </w:pPr>
      <w:r>
        <w:rPr>
          <w:rtl/>
        </w:rPr>
        <w:tab/>
      </w:r>
      <w:r>
        <w:rPr>
          <w:rtl/>
        </w:rPr>
        <w:tab/>
      </w:r>
      <w:r>
        <w:rPr>
          <w:rtl/>
        </w:rPr>
        <w:tab/>
      </w:r>
      <w:sdt>
        <w:sdtPr>
          <w:rPr>
            <w:rtl/>
          </w:rPr>
          <w:alias w:val="MergeField"/>
          <w:tag w:val="1237"/>
          <w:id w:val="1003862855"/>
        </w:sdtPr>
        <w:sdtEndPr/>
        <w:sdtContent>
          <w:r w:rsidR="004D4AB3">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1971675" cy="533400"/>
                        </a:xfrm>
                        <a:prstGeom prst="rect">
                          <a:avLst/>
                        </a:prstGeom>
                      </pic:spPr>
                    </pic:pic>
                  </a:graphicData>
                </a:graphic>
              </wp:inline>
            </w:drawing>
          </w:r>
        </w:sdtContent>
      </w:sdt>
    </w:p>
    <w:p w:rsidR="002914D6" w:rsidRDefault="002914D6" w:rsidP="00521467">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9"/>
      <w:footerReference w:type="default" r:id="rId2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9FE" w:rsidRDefault="00A459FE">
      <w:r>
        <w:separator/>
      </w:r>
    </w:p>
  </w:endnote>
  <w:endnote w:type="continuationSeparator" w:id="0">
    <w:p w:rsidR="00A459FE" w:rsidRDefault="00A45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1061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A6315">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A6315">
      <w:rPr>
        <w:rStyle w:val="ab"/>
        <w:rtl/>
      </w:rPr>
      <w:t>8</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9FE" w:rsidRDefault="00A459FE">
      <w:r>
        <w:separator/>
      </w:r>
    </w:p>
  </w:footnote>
  <w:footnote w:type="continuationSeparator" w:id="0">
    <w:p w:rsidR="00A459FE" w:rsidRDefault="00A45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E41F9">
    <w:pPr>
      <w:pStyle w:val="a3"/>
      <w:jc w:val="center"/>
      <w:rPr>
        <w:rFonts w:cs="FrankRuehl"/>
        <w:noProof w:val="0"/>
        <w:sz w:val="28"/>
        <w:szCs w:val="28"/>
        <w:rtl/>
      </w:rPr>
    </w:pPr>
    <w:r>
      <w:rPr>
        <w:rFonts w:cs="FrankRuehl"/>
        <w:sz w:val="28"/>
        <w:szCs w:val="28"/>
      </w:rPr>
      <w:drawing>
        <wp:inline distT="0" distB="0" distL="0" distR="0" wp14:anchorId="4019F142" wp14:editId="3E4955C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3"/>
      <w:gridCol w:w="3592"/>
    </w:tblGrid>
    <w:tr w:rsidR="002914D6">
      <w:trPr>
        <w:trHeight w:hRule="exact" w:val="418"/>
        <w:jc w:val="center"/>
      </w:trPr>
      <w:sdt>
        <w:sdtPr>
          <w:rPr>
            <w:rtl/>
          </w:rPr>
          <w:alias w:val="1174"/>
          <w:tag w:val="1174"/>
          <w:id w:val="-66170113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952063389"/>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24 ינואר 2023</w:t>
              </w:r>
            </w:p>
          </w:tc>
        </w:sdtContent>
      </w:sdt>
    </w:tr>
    <w:tr w:rsidR="002914D6">
      <w:trPr>
        <w:trHeight w:val="337"/>
        <w:jc w:val="center"/>
      </w:trPr>
      <w:tc>
        <w:tcPr>
          <w:tcW w:w="8721" w:type="dxa"/>
          <w:gridSpan w:val="2"/>
        </w:tcPr>
        <w:p w:rsidR="002914D6" w:rsidRDefault="00A459FE" w:rsidP="00B45811">
          <w:pPr>
            <w:rPr>
              <w:b/>
              <w:bCs/>
              <w:noProof w:val="0"/>
              <w:sz w:val="26"/>
              <w:szCs w:val="26"/>
              <w:rtl/>
            </w:rPr>
          </w:pPr>
          <w:sdt>
            <w:sdtPr>
              <w:rPr>
                <w:rtl/>
              </w:rPr>
              <w:alias w:val="1170"/>
              <w:tag w:val="1170"/>
              <w:id w:val="-1240940633"/>
              <w:text w:multiLine="1"/>
            </w:sdtPr>
            <w:sdtEndPr/>
            <w:sdtContent>
              <w:r w:rsidR="00521467">
                <w:rPr>
                  <w:b/>
                  <w:bCs/>
                  <w:noProof w:val="0"/>
                  <w:sz w:val="26"/>
                  <w:szCs w:val="26"/>
                  <w:rtl/>
                </w:rPr>
                <w:t>תלה"מ</w:t>
              </w:r>
            </w:sdtContent>
          </w:sdt>
          <w:r w:rsidR="00011212">
            <w:rPr>
              <w:b/>
              <w:bCs/>
              <w:noProof w:val="0"/>
              <w:sz w:val="26"/>
              <w:szCs w:val="26"/>
              <w:rtl/>
            </w:rPr>
            <w:t xml:space="preserve"> </w:t>
          </w:r>
          <w:sdt>
            <w:sdtPr>
              <w:rPr>
                <w:rtl/>
              </w:rPr>
              <w:alias w:val="1171"/>
              <w:tag w:val="1171"/>
              <w:id w:val="-1122917173"/>
              <w:text w:multiLine="1"/>
            </w:sdtPr>
            <w:sdtEndPr/>
            <w:sdtContent>
              <w:r w:rsidR="00521467">
                <w:rPr>
                  <w:b/>
                  <w:bCs/>
                  <w:noProof w:val="0"/>
                  <w:sz w:val="26"/>
                  <w:szCs w:val="26"/>
                  <w:rtl/>
                </w:rPr>
                <w:t>66112-03-22</w:t>
              </w:r>
            </w:sdtContent>
          </w:sdt>
          <w:r w:rsidR="00011212">
            <w:rPr>
              <w:b/>
              <w:bCs/>
              <w:noProof w:val="0"/>
              <w:sz w:val="26"/>
              <w:szCs w:val="26"/>
              <w:rtl/>
            </w:rPr>
            <w:t xml:space="preserve"> </w:t>
          </w:r>
          <w:sdt>
            <w:sdtPr>
              <w:rPr>
                <w:rtl/>
              </w:rPr>
              <w:alias w:val="1172"/>
              <w:tag w:val="1172"/>
              <w:id w:val="1658414112"/>
              <w:text w:multiLine="1"/>
            </w:sdtPr>
            <w:sdtEndPr/>
            <w:sdtContent>
              <w:r w:rsidR="00B45811">
                <w:rPr>
                  <w:rFonts w:hint="cs"/>
                  <w:b/>
                  <w:bCs/>
                  <w:noProof w:val="0"/>
                  <w:sz w:val="26"/>
                  <w:szCs w:val="26"/>
                  <w:rtl/>
                </w:rPr>
                <w:t>פלונית נ' אלמוני</w:t>
              </w:r>
            </w:sdtContent>
          </w:sdt>
        </w:p>
        <w:p w:rsidR="002914D6" w:rsidRDefault="00A459FE" w:rsidP="008C3E5E">
          <w:pPr>
            <w:rPr>
              <w:rtl/>
            </w:rPr>
          </w:pPr>
          <w:sdt>
            <w:sdtPr>
              <w:rPr>
                <w:rtl/>
              </w:rPr>
              <w:alias w:val="1170"/>
              <w:tag w:val="1170"/>
              <w:id w:val="1700360422"/>
              <w:text w:multiLine="1"/>
            </w:sdtPr>
            <w:sdtEndPr/>
            <w:sdtContent>
              <w:r w:rsidR="008C3E5E">
                <w:rPr>
                  <w:b/>
                  <w:bCs/>
                  <w:noProof w:val="0"/>
                  <w:sz w:val="26"/>
                  <w:szCs w:val="26"/>
                  <w:rtl/>
                </w:rPr>
                <w:t>תלה"מ</w:t>
              </w:r>
            </w:sdtContent>
          </w:sdt>
          <w:r w:rsidR="008C3E5E">
            <w:rPr>
              <w:b/>
              <w:bCs/>
              <w:noProof w:val="0"/>
              <w:sz w:val="26"/>
              <w:szCs w:val="26"/>
              <w:rtl/>
            </w:rPr>
            <w:t xml:space="preserve"> </w:t>
          </w:r>
          <w:sdt>
            <w:sdtPr>
              <w:rPr>
                <w:rtl/>
              </w:rPr>
              <w:alias w:val="1171"/>
              <w:tag w:val="1171"/>
              <w:id w:val="2081713223"/>
              <w:text w:multiLine="1"/>
            </w:sdtPr>
            <w:sdtEndPr/>
            <w:sdtContent>
              <w:r w:rsidR="008C3E5E">
                <w:rPr>
                  <w:rFonts w:hint="cs"/>
                  <w:b/>
                  <w:bCs/>
                  <w:noProof w:val="0"/>
                  <w:sz w:val="26"/>
                  <w:szCs w:val="26"/>
                  <w:rtl/>
                </w:rPr>
                <w:t>39710-01-22</w:t>
              </w:r>
            </w:sdtContent>
          </w:sdt>
        </w:p>
        <w:p w:rsidR="004026B5" w:rsidRDefault="004026B5">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52024F"/>
    <w:multiLevelType w:val="hybridMultilevel"/>
    <w:tmpl w:val="573AB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39087B"/>
    <w:multiLevelType w:val="hybridMultilevel"/>
    <w:tmpl w:val="573AB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B406CE"/>
    <w:multiLevelType w:val="hybridMultilevel"/>
    <w:tmpl w:val="0548D8EA"/>
    <w:lvl w:ilvl="0" w:tplc="0B4A5950">
      <w:start w:val="1"/>
      <w:numFmt w:val="decimal"/>
      <w:lvlText w:val="%1."/>
      <w:lvlJc w:val="left"/>
      <w:pPr>
        <w:ind w:left="720" w:hanging="360"/>
      </w:pPr>
      <w:rPr>
        <w:b w:val="0"/>
        <w:bCs w:val="0"/>
        <w:strike w:val="0"/>
        <w:lang w:val="en-US" w:bidi="he-IL"/>
      </w:rPr>
    </w:lvl>
    <w:lvl w:ilvl="1" w:tplc="97867566">
      <w:start w:val="1"/>
      <w:numFmt w:val="lowerLetter"/>
      <w:lvlText w:val="%2."/>
      <w:lvlJc w:val="left"/>
      <w:pPr>
        <w:ind w:left="1440" w:hanging="360"/>
      </w:pPr>
    </w:lvl>
    <w:lvl w:ilvl="2" w:tplc="39189DCE">
      <w:start w:val="1"/>
      <w:numFmt w:val="lowerRoman"/>
      <w:lvlText w:val="%3."/>
      <w:lvlJc w:val="right"/>
      <w:pPr>
        <w:ind w:left="2160" w:hanging="180"/>
      </w:pPr>
    </w:lvl>
    <w:lvl w:ilvl="3" w:tplc="5582E4F8">
      <w:start w:val="1"/>
      <w:numFmt w:val="decimal"/>
      <w:lvlText w:val="%4."/>
      <w:lvlJc w:val="left"/>
      <w:pPr>
        <w:ind w:left="2880" w:hanging="360"/>
      </w:pPr>
    </w:lvl>
    <w:lvl w:ilvl="4" w:tplc="9404E08E">
      <w:start w:val="1"/>
      <w:numFmt w:val="lowerLetter"/>
      <w:lvlText w:val="%5."/>
      <w:lvlJc w:val="left"/>
      <w:pPr>
        <w:ind w:left="3600" w:hanging="360"/>
      </w:pPr>
    </w:lvl>
    <w:lvl w:ilvl="5" w:tplc="67A6C292">
      <w:start w:val="1"/>
      <w:numFmt w:val="lowerRoman"/>
      <w:lvlText w:val="%6."/>
      <w:lvlJc w:val="right"/>
      <w:pPr>
        <w:ind w:left="4320" w:hanging="180"/>
      </w:pPr>
    </w:lvl>
    <w:lvl w:ilvl="6" w:tplc="EAF0A768">
      <w:start w:val="1"/>
      <w:numFmt w:val="decimal"/>
      <w:lvlText w:val="%7."/>
      <w:lvlJc w:val="left"/>
      <w:pPr>
        <w:ind w:left="5040" w:hanging="360"/>
      </w:pPr>
    </w:lvl>
    <w:lvl w:ilvl="7" w:tplc="E5C66E5E">
      <w:start w:val="1"/>
      <w:numFmt w:val="lowerLetter"/>
      <w:lvlText w:val="%8."/>
      <w:lvlJc w:val="left"/>
      <w:pPr>
        <w:ind w:left="5760" w:hanging="360"/>
      </w:pPr>
    </w:lvl>
    <w:lvl w:ilvl="8" w:tplc="6AF6B8D0">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0E14"/>
    <w:rsid w:val="00011212"/>
    <w:rsid w:val="00110618"/>
    <w:rsid w:val="00177129"/>
    <w:rsid w:val="00181854"/>
    <w:rsid w:val="001A6315"/>
    <w:rsid w:val="001C1D90"/>
    <w:rsid w:val="001E6690"/>
    <w:rsid w:val="00206BC7"/>
    <w:rsid w:val="00252CB1"/>
    <w:rsid w:val="002914D6"/>
    <w:rsid w:val="002F5307"/>
    <w:rsid w:val="00356A9F"/>
    <w:rsid w:val="003C271B"/>
    <w:rsid w:val="004026B5"/>
    <w:rsid w:val="004148BC"/>
    <w:rsid w:val="004D4AB3"/>
    <w:rsid w:val="00521467"/>
    <w:rsid w:val="00580DE2"/>
    <w:rsid w:val="00620A51"/>
    <w:rsid w:val="006A612D"/>
    <w:rsid w:val="00776C7F"/>
    <w:rsid w:val="007E5E60"/>
    <w:rsid w:val="00822AA5"/>
    <w:rsid w:val="008757D3"/>
    <w:rsid w:val="008A60B2"/>
    <w:rsid w:val="008B7DA0"/>
    <w:rsid w:val="008C3E5E"/>
    <w:rsid w:val="008C7BE0"/>
    <w:rsid w:val="0098610E"/>
    <w:rsid w:val="009E673C"/>
    <w:rsid w:val="00A12F1E"/>
    <w:rsid w:val="00A459FE"/>
    <w:rsid w:val="00A62D3C"/>
    <w:rsid w:val="00A8246C"/>
    <w:rsid w:val="00B45811"/>
    <w:rsid w:val="00B86079"/>
    <w:rsid w:val="00BE41F9"/>
    <w:rsid w:val="00CE6FA1"/>
    <w:rsid w:val="00D358FE"/>
    <w:rsid w:val="00D54B3A"/>
    <w:rsid w:val="00D65B8A"/>
    <w:rsid w:val="00D83DEC"/>
    <w:rsid w:val="00DB54C4"/>
    <w:rsid w:val="00E50BBB"/>
    <w:rsid w:val="00F03998"/>
    <w:rsid w:val="00F37BA8"/>
    <w:rsid w:val="00F50E07"/>
    <w:rsid w:val="00F9100E"/>
    <w:rsid w:val="00FA40E8"/>
    <w:rsid w:val="00FA6D7C"/>
    <w:rsid w:val="00FC3F5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555977-8B90-43DA-B0B9-F5F3DBB24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6A612D"/>
    <w:rPr>
      <w:color w:val="808080"/>
    </w:rPr>
  </w:style>
  <w:style w:type="paragraph" w:styleId="ad">
    <w:name w:val="List Paragraph"/>
    <w:basedOn w:val="a"/>
    <w:uiPriority w:val="34"/>
    <w:qFormat/>
    <w:rsid w:val="008C3E5E"/>
    <w:pPr>
      <w:spacing w:after="160" w:line="259" w:lineRule="auto"/>
      <w:ind w:left="720"/>
      <w:contextualSpacing/>
    </w:pPr>
    <w:rPr>
      <w:rFonts w:asciiTheme="minorHAnsi" w:eastAsiaTheme="minorHAnsi" w:hAnsiTheme="minorHAnsi" w:cstheme="minorBidi"/>
      <w:noProof w:val="0"/>
      <w:sz w:val="22"/>
      <w:szCs w:val="22"/>
    </w:rPr>
  </w:style>
  <w:style w:type="paragraph" w:styleId="ae">
    <w:name w:val="No Spacing"/>
    <w:uiPriority w:val="1"/>
    <w:qFormat/>
    <w:rsid w:val="008C3E5E"/>
    <w:pPr>
      <w:bidi/>
    </w:pPr>
    <w:rPr>
      <w:rFonts w:ascii="Calibri" w:eastAsia="Calibri" w:hAnsi="Calibri" w:cs="Arial"/>
      <w:sz w:val="22"/>
      <w:szCs w:val="22"/>
    </w:rPr>
  </w:style>
  <w:style w:type="character" w:styleId="Hyperlink">
    <w:name w:val="Hyperlink"/>
    <w:unhideWhenUsed/>
    <w:rsid w:val="008C3E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0684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646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0325" TargetMode="External"/><Relationship Id="rId13" Type="http://schemas.openxmlformats.org/officeDocument/2006/relationships/hyperlink" Target="http://www.nevo.co.il/case/6186143" TargetMode="External"/><Relationship Id="rId18" Type="http://schemas.openxmlformats.org/officeDocument/2006/relationships/image" Target="media/image1.jp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nevo.co.il/case/2259208" TargetMode="External"/><Relationship Id="rId17" Type="http://schemas.openxmlformats.org/officeDocument/2006/relationships/hyperlink" Target="http://www.nevo.co.il/case/3799472" TargetMode="External"/><Relationship Id="rId2" Type="http://schemas.openxmlformats.org/officeDocument/2006/relationships/numbering" Target="numbering.xml"/><Relationship Id="rId16" Type="http://schemas.openxmlformats.org/officeDocument/2006/relationships/hyperlink" Target="http://www.nevo.co.il/case/28306664"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3610769" TargetMode="External"/><Relationship Id="rId5" Type="http://schemas.openxmlformats.org/officeDocument/2006/relationships/webSettings" Target="webSettings.xml"/><Relationship Id="rId15" Type="http://schemas.openxmlformats.org/officeDocument/2006/relationships/hyperlink" Target="http://www.nevo.co.il/case/26662960" TargetMode="External"/><Relationship Id="rId10" Type="http://schemas.openxmlformats.org/officeDocument/2006/relationships/hyperlink" Target="http://www.nevo.co.il/case/2353697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vo.co.il/law/70325/25" TargetMode="External"/><Relationship Id="rId14" Type="http://schemas.openxmlformats.org/officeDocument/2006/relationships/hyperlink" Target="http://www.nevo.co.il/case/22294444"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2805</Words>
  <Characters>14028</Characters>
  <Application>Microsoft Office Word</Application>
  <DocSecurity>0</DocSecurity>
  <Lines>116</Lines>
  <Paragraphs>33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cp:lastPrinted>2023-01-24T10:26:00Z</cp:lastPrinted>
  <dcterms:created xsi:type="dcterms:W3CDTF">2023-04-20T10:05:00Z</dcterms:created>
  <dcterms:modified xsi:type="dcterms:W3CDTF">2023-04-20T10:05:00Z</dcterms:modified>
</cp:coreProperties>
</file>